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E9" w:rsidRDefault="006100E9" w:rsidP="006100E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ДОКЛАД</w:t>
      </w:r>
    </w:p>
    <w:p w:rsidR="006100E9" w:rsidRDefault="006100E9" w:rsidP="006100E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заместителя Председателя</w:t>
      </w:r>
    </w:p>
    <w:p w:rsidR="006100E9" w:rsidRDefault="006100E9" w:rsidP="006100E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Конституционного Суда</w:t>
      </w:r>
    </w:p>
    <w:p w:rsidR="006100E9" w:rsidRDefault="006100E9" w:rsidP="006100E9">
      <w:pPr>
        <w:spacing w:after="0" w:line="240" w:lineRule="auto"/>
        <w:ind w:left="720" w:firstLine="7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Азербайджанской Республики</w:t>
      </w:r>
    </w:p>
    <w:p w:rsidR="006100E9" w:rsidRDefault="006100E9" w:rsidP="006100E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доктора философии по праву</w:t>
      </w:r>
    </w:p>
    <w:p w:rsidR="006100E9" w:rsidRDefault="006100E9" w:rsidP="006100E9">
      <w:pPr>
        <w:spacing w:after="0" w:line="240" w:lineRule="auto"/>
        <w:ind w:left="5040"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госпожи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Соны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Салмановой</w:t>
      </w:r>
    </w:p>
    <w:p w:rsidR="006100E9" w:rsidRDefault="006100E9" w:rsidP="00610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100E9" w:rsidRDefault="006100E9" w:rsidP="006100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00E9" w:rsidRDefault="006100E9" w:rsidP="006100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00E9" w:rsidRDefault="006100E9" w:rsidP="006100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ВКЛАД КОНСТИТУЦИОННОГО ПРАВОСУДИЯ</w:t>
      </w:r>
    </w:p>
    <w:p w:rsidR="006100E9" w:rsidRDefault="006100E9" w:rsidP="006100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ФОРМИРОВАНИЕ ПРАВОПРИМЕНИТЕЛЬНОЙ ПРАКТИКИ</w:t>
      </w:r>
    </w:p>
    <w:p w:rsidR="006100E9" w:rsidRDefault="006100E9" w:rsidP="006100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АЗЕРБАЙДЖАНСКОЙ РЕСПУБЛИКЕ</w:t>
      </w:r>
    </w:p>
    <w:p w:rsidR="006100E9" w:rsidRDefault="006100E9" w:rsidP="006100E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(16-17 мая, 2017 г., Санкт-Петербург)</w:t>
      </w:r>
    </w:p>
    <w:p w:rsidR="006100E9" w:rsidRDefault="006100E9" w:rsidP="006100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00E9" w:rsidRDefault="006100E9" w:rsidP="006100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00E9" w:rsidRDefault="006100E9" w:rsidP="006100E9">
      <w:pPr>
        <w:spacing w:after="0" w:line="360" w:lineRule="auto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Уважаемый господин Председатель,</w:t>
      </w:r>
    </w:p>
    <w:p w:rsidR="006100E9" w:rsidRDefault="006100E9" w:rsidP="006100E9">
      <w:pPr>
        <w:spacing w:after="0" w:line="360" w:lineRule="auto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Уважаемые коллеги,</w:t>
      </w:r>
    </w:p>
    <w:p w:rsidR="006100E9" w:rsidRDefault="006100E9" w:rsidP="006100E9">
      <w:pPr>
        <w:spacing w:after="0" w:line="360" w:lineRule="auto"/>
        <w:ind w:firstLine="708"/>
        <w:rPr>
          <w:rFonts w:ascii="Times New Roman" w:hAnsi="Times New Roman"/>
          <w:i/>
          <w:sz w:val="24"/>
          <w:szCs w:val="24"/>
          <w:shd w:val="clear" w:color="auto" w:fill="F7F7F7"/>
        </w:rPr>
      </w:pPr>
      <w:r>
        <w:rPr>
          <w:rFonts w:ascii="Times New Roman" w:hAnsi="Times New Roman"/>
          <w:i/>
          <w:sz w:val="28"/>
          <w:szCs w:val="28"/>
        </w:rPr>
        <w:t>Участники Конференции,</w:t>
      </w:r>
    </w:p>
    <w:p w:rsidR="006100E9" w:rsidRDefault="006100E9" w:rsidP="006100E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7F7F7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в 1995 году Конституции Азербайджанской Республики послужило началом процесса демократизации политического режима и расширению круга социальных возможностей для личности. Как результат, существенно усилилась роль, отводимая  правам и свободам человека в правовой системе страны, последовало их провозглашение на конституционном уровне как высшей ценности, а также появились новые механизмы обеспечения гарантий, предоставленных государством.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Реализация идей правовой государственности обусловила создание  Конституционного Суда как специализированного судебного органа, находящегося в системе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государственно-властных отношений</w:t>
      </w:r>
      <w:r>
        <w:rPr>
          <w:rFonts w:ascii="Times New Roman" w:eastAsia="Times New Roman" w:hAnsi="Times New Roman"/>
          <w:sz w:val="28"/>
          <w:szCs w:val="28"/>
        </w:rPr>
        <w:t xml:space="preserve"> основной целью которого является правовая охрана Конституции и  защита прав и свобод человека и гражданина.</w:t>
      </w:r>
    </w:p>
    <w:p w:rsidR="006100E9" w:rsidRDefault="006100E9" w:rsidP="006100E9">
      <w:pPr>
        <w:tabs>
          <w:tab w:val="left" w:pos="9639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Благодаря своей природе и данным ему полномочиям, Конституционный Суд способен обеспечивать интеграцию концепций,    </w:t>
      </w:r>
      <w:r>
        <w:rPr>
          <w:rFonts w:ascii="Times New Roman" w:eastAsia="Times New Roman" w:hAnsi="Times New Roman"/>
          <w:sz w:val="28"/>
          <w:szCs w:val="28"/>
        </w:rPr>
        <w:lastRenderedPageBreak/>
        <w:t>идей конституционно-правовой теории с текущими потребностями  государственно-правовой практики.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Орган конституционного правосудия является органом судебной ветви власти, который, наряду с другими судами, призван решать споры о праве снимать социальные противоречия и коллизии. При этом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он непосредственно участвует в нормотворческом процессе. Подразумевается не только право признать оспариваемую норму неконституционной, но и возможности, связанные с толкованием норм права. Ведь 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роизводя интерпретацию Конституции и иных  нормативно-правовых актов, Суд  излагает правовые позиции, без которых текст закона уже не рассматривается как полноценный. </w:t>
      </w:r>
      <w:r>
        <w:rPr>
          <w:rFonts w:ascii="Times New Roman" w:hAnsi="Times New Roman"/>
          <w:sz w:val="28"/>
          <w:szCs w:val="28"/>
        </w:rPr>
        <w:t>Постановления о толковании  содержат правовые положения, имеющие нормативное значение и в своей совокупности очерчивают конституционно-правовое пространство, в котором должны действовать субъекты права.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Конституционный Суд не просто озвучивает право, но и создает его, основываясь в первую очередь, на системе конституционных принципов.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Анализируя систему конституционного контроля в Азербайджанской Республике можно сделать вывод о том, что все ветви власти взаимодействуют с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hl"/>
          <w:rFonts w:ascii="Times New Roman" w:hAnsi="Times New Roman"/>
          <w:sz w:val="28"/>
          <w:szCs w:val="28"/>
        </w:rPr>
        <w:t>Конституционным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Судом, взаимно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уравновешивая и дополняя друг друга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что, в конечном итоге, приводит к утверждению конституционной законности в государстве и обществе. </w:t>
      </w:r>
    </w:p>
    <w:p w:rsidR="006100E9" w:rsidRDefault="006100E9" w:rsidP="006100E9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отличие от рекомендательных актов Пленума Верховного Суда, постановления Конституционного Суда имеют обязательную юридическую силу, рассчитаны на неопределенный круг субъектов и подразумевают стабильное понимание норм права и их применение. </w:t>
      </w:r>
    </w:p>
    <w:p w:rsidR="006100E9" w:rsidRDefault="006100E9" w:rsidP="006100E9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Именно по этой причине суды общей юрисдикции нередко обращаются в Конституционный Суд Азербайджанской Республики с просьбой о толковании норм закона, связанных с конкретными делами, находящимися в их производстве.  Таким образом, Конституционный Суд, по сути, вынужден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повлиять на окончательное решение по данному делу путем толкования норм права и их конституционного содержания.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Необходимость толкования вызвана рядом причин: наличием противоречий норм права; двусмысленностью; вопросами целесообразности; краткостью и неясностью изложения; общим характером нормативных предписаний, регулирующих определенный вид общественных отношений; возможностью возникновения новых отношений в рамках определенного вида, которые законодатель конкретно не урегулировал.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135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Перед Конституционным Судом стоит задача определить содержание и цели, которые ставились в момент принятия нормы, и конечно,  волю законодателя. Подчас, суть толкования  сводится к обоснованию адекватности нормы права, существующей реальности в период действия закона. Очевидно, что общественная жизнь меняется гораздо быстрее воли законодателя, в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связи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 чем возникает несоответствие между нормой права и динамикой жизни. Процедура же подготовки и принятия четко обоснованных изменений в законодательстве трудоемка и требует времени. Именно поэтому конфликт между законом и реальностями жизни может зайти так далеко,  насколько далеко ушло вперед развитие общества. Такое противоречие может быть устранено двумя способами: либо принятием новой нормы, либо раскрытием содержания правовых норм таким образом, чтобы ликвидировать возникшую коллизию. </w:t>
      </w:r>
    </w:p>
    <w:p w:rsidR="006100E9" w:rsidRDefault="006100E9" w:rsidP="006100E9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Можно сказать, что Конституционный Суд балансирует на грани, стараясь учитывать при толковании как «букву закона», так и правовые потребности и ожидания общества.</w:t>
      </w:r>
    </w:p>
    <w:p w:rsidR="006100E9" w:rsidRDefault="006100E9" w:rsidP="006100E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Это,  в свою очередь,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p</w:t>
      </w:r>
      <w:proofErr w:type="gramEnd"/>
      <w:r>
        <w:rPr>
          <w:rFonts w:ascii="Times New Roman" w:eastAsia="Times New Roman" w:hAnsi="Times New Roman"/>
          <w:sz w:val="28"/>
          <w:szCs w:val="28"/>
        </w:rPr>
        <w:t>иводит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 тому, что судебное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пpаво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опеpежает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 своем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pазвитии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законодательный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пpоцесс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p</w:t>
      </w:r>
      <w:proofErr w:type="gramEnd"/>
      <w:r>
        <w:rPr>
          <w:rFonts w:ascii="Times New Roman" w:eastAsia="Times New Roman" w:hAnsi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pассмотpении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конкpетных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 дел судам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пpиходится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pазpешать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возникающие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пpавовой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действительности казусы,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котоpые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законодатель еще не успел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уpегулиpовать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100E9" w:rsidRDefault="006100E9" w:rsidP="006100E9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исключено, что  в ходе толкования  акта,  в связи с обращениями судов, Пленум Конституционного Суда Азербайджанской Республики может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прийти к выводу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неконституционности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рассматриваемой нормы. Таким образом, </w:t>
      </w:r>
      <w:r>
        <w:rPr>
          <w:rFonts w:ascii="Times New Roman" w:eastAsia="Times New Roman" w:hAnsi="Times New Roman"/>
          <w:sz w:val="28"/>
          <w:szCs w:val="28"/>
        </w:rPr>
        <w:t xml:space="preserve">Конституционный Суд,  не внося каких либо изменений в законы, выявляет необходимость дополнительного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регули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p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возникших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пpотивоpечий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 законе. И в некоторых случаях, Суд устанавливает временные меры поведения для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правоприменителя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до принятия законодателем новой нормы с учетом правовой позиции, закрепленной в постановлении. 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Надо отметить, что изначально эффективному использованию права  обращений судов  препятствовали стереотипы судебной практики, сложившиеся в предшествующий период, когда суды не пользовались подобным полномочием. Существовал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 некий психологический барьер, ведь судьи привыкли применять закон, подчиняясь ему при рассмотрении конкретного дела, а новое конституционное законодательство предоставило суду полномочие поднимать вопрос о толковании применяемого закона, сомневаться в его ясности и законности. Изменилась и роль самих судов в правовой системе. Из арбитра по гражданским, уголовным и другим делам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 суд превращается в участника конституционного судопроизводства.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 Наделение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 судов правом обращения в Конституционный Суд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 превратило их в реальных участников механизма взаимного дополнения и взаимного ограничения в системе ветвей власти в государстве. 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 число обращения судов неуклонно растет, и это свидетельствует о том,  что судьи общих судов глубоко сознают ответственность принятия решения от имени государства. 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Подводя итог, отмечу, что  воздействие конституционного правосудия на правовую систему не исчерпывается функцией юридической фильтрации законодательства по критерию конституционности. Конституционное правосудие ныне обладает внушительным арсеналом средств, направленных на обеспечение модернизации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 законодательства в целом. Задача же Конституционного Суда - эффективно использовать вверенные ему средства в целях должного осуществления своей миссии.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Helvetica" w:hAnsi="Helvetica"/>
          <w:i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/>
          <w:i/>
          <w:sz w:val="28"/>
          <w:szCs w:val="28"/>
        </w:rPr>
        <w:t>Благодарю за внимание.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center"/>
        <w:rPr>
          <w:rFonts w:ascii="Times New Roman" w:hAnsi="Times New Roman"/>
          <w:b/>
          <w:u w:val="single"/>
          <w:shd w:val="clear" w:color="auto" w:fill="FFFFFF"/>
        </w:rPr>
      </w:pPr>
      <w:r>
        <w:rPr>
          <w:rFonts w:ascii="Times New Roman" w:hAnsi="Times New Roman"/>
          <w:b/>
          <w:u w:val="single"/>
          <w:shd w:val="clear" w:color="auto" w:fill="FFFFFF"/>
        </w:rPr>
        <w:t>ПРАКТИЧЕСКОЕ ПРИЛОЖЕНИЕ</w:t>
      </w:r>
    </w:p>
    <w:p w:rsidR="006100E9" w:rsidRDefault="006100E9" w:rsidP="006100E9">
      <w:pPr>
        <w:spacing w:after="0" w:line="360" w:lineRule="auto"/>
        <w:ind w:firstLine="708"/>
        <w:jc w:val="center"/>
        <w:rPr>
          <w:rFonts w:ascii="Times New Roman" w:hAnsi="Times New Roman"/>
          <w:b/>
          <w:u w:val="single"/>
          <w:shd w:val="clear" w:color="auto" w:fill="FFFFFF"/>
        </w:rPr>
      </w:pPr>
      <w:r>
        <w:rPr>
          <w:rFonts w:ascii="Times New Roman" w:hAnsi="Times New Roman"/>
          <w:b/>
          <w:u w:val="single"/>
          <w:shd w:val="clear" w:color="auto" w:fill="FFFFFF"/>
        </w:rPr>
        <w:t>ДЛЯ ИСПОЛЬЗОВАНИЯ ВО ВРЕМЯ ДИСКУССИЙ:</w:t>
      </w:r>
    </w:p>
    <w:p w:rsidR="006100E9" w:rsidRDefault="006100E9" w:rsidP="006100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6100E9" w:rsidRDefault="006100E9" w:rsidP="006100E9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Хотелось бы отметить, что с</w:t>
      </w:r>
      <w:r>
        <w:rPr>
          <w:rFonts w:ascii="Times New Roman" w:hAnsi="Times New Roman"/>
          <w:sz w:val="28"/>
          <w:szCs w:val="28"/>
        </w:rPr>
        <w:t xml:space="preserve">равнительно недавно в деятельности Конституционного Суда Азербайджана проявилась несколько иная тенденция, обусловленная тем, что наблюдаемые сегодня </w:t>
      </w:r>
      <w:proofErr w:type="gramStart"/>
      <w:r>
        <w:rPr>
          <w:rFonts w:ascii="Times New Roman" w:hAnsi="Times New Roman"/>
          <w:sz w:val="28"/>
          <w:szCs w:val="28"/>
        </w:rPr>
        <w:t>экономические процессы</w:t>
      </w:r>
      <w:proofErr w:type="gramEnd"/>
      <w:r>
        <w:rPr>
          <w:rFonts w:ascii="Times New Roman" w:hAnsi="Times New Roman"/>
          <w:sz w:val="28"/>
          <w:szCs w:val="28"/>
        </w:rPr>
        <w:t xml:space="preserve"> неизбежно затрагивают социальные права граждан. Суд начал давать рекомендации непосредственно </w:t>
      </w:r>
      <w:proofErr w:type="spellStart"/>
      <w:r>
        <w:rPr>
          <w:rFonts w:ascii="Times New Roman" w:hAnsi="Times New Roman"/>
          <w:sz w:val="28"/>
          <w:szCs w:val="28"/>
        </w:rPr>
        <w:t>правоприменителям</w:t>
      </w:r>
      <w:proofErr w:type="spellEnd"/>
      <w:r>
        <w:rPr>
          <w:rFonts w:ascii="Times New Roman" w:hAnsi="Times New Roman"/>
          <w:sz w:val="28"/>
          <w:szCs w:val="28"/>
        </w:rPr>
        <w:t>. Приведу пример.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осле девальвации национальной валюты заемщики, взявшие в банках кредит в иностранной валюте, отказывались погашать задолженности по новому курсу, обосновывая свою позицию тем, что ежемесячная процедура погашения кредита является платежом. А в связи с тем, что, согласно Конституции, единственным средством платежа на территории республики является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азербайджанский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манат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погашение кредитов в иностранной валюте  незаконно. Конституционный Суд, рассмотрев запрос, пришел к заключению, что кредитные операции - не платеж, а передача прав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имущество, а та или иная сумма в валюте в данном контексте является вещью. Таким образом, кредиты, взятые в иностранной валюте, так же как и проценты по ним, должны возвращаться согласно договору, существующему между сторонами.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Однако, принимая во внимание то, что новый курс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маната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отношению к иностранной валюте создает для заемщиков проблемы с возвратом долга, а также увеличивает общие расходы граждан, и в целом негативно влияет на их платежеспособность, Конституционный Суд в резолютивной части Постановления  указал банкам  на целесообразность продления сроков платежей по кредитам в иностранной валюте, реструктуризацию таких кредитов, снижения процентных ставок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принятие других мер,  направленных на применение льготных условий.</w:t>
      </w:r>
    </w:p>
    <w:p w:rsidR="00AF1DD4" w:rsidRPr="006100E9" w:rsidRDefault="00AF1DD4" w:rsidP="006100E9">
      <w:bookmarkStart w:id="1" w:name="_GoBack"/>
      <w:bookmarkEnd w:id="1"/>
    </w:p>
    <w:sectPr w:rsidR="00AF1DD4" w:rsidRPr="0061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02"/>
    <w:rsid w:val="006100E9"/>
    <w:rsid w:val="00694A02"/>
    <w:rsid w:val="00A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00E9"/>
  </w:style>
  <w:style w:type="character" w:customStyle="1" w:styleId="hl">
    <w:name w:val="hl"/>
    <w:basedOn w:val="a0"/>
    <w:rsid w:val="00610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00E9"/>
  </w:style>
  <w:style w:type="character" w:customStyle="1" w:styleId="hl">
    <w:name w:val="hl"/>
    <w:basedOn w:val="a0"/>
    <w:rsid w:val="0061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YTS2AAM2MAMQ-216-129</_dlc_DocId>
    <_dlc_DocIdUrl xmlns="5eaa5de6-3da6-4bfb-bdf9-3a6adb29c1e4">
      <Url>http://www.ksrf.ru/ru/Info/Conferences/_layouts/DocIdRedir.aspx?ID=YTS2AAM2MAMQ-216-129</Url>
      <Description>YTS2AAM2MAMQ-216-129</Description>
    </_dlc_DocIdUrl>
  </documentManagement>
</p:properties>
</file>

<file path=customXml/itemProps1.xml><?xml version="1.0" encoding="utf-8"?>
<ds:datastoreItem xmlns:ds="http://schemas.openxmlformats.org/officeDocument/2006/customXml" ds:itemID="{0C1B409F-A7DB-4422-8D6B-546E38554F41}"/>
</file>

<file path=customXml/itemProps2.xml><?xml version="1.0" encoding="utf-8"?>
<ds:datastoreItem xmlns:ds="http://schemas.openxmlformats.org/officeDocument/2006/customXml" ds:itemID="{798A39FD-4A26-4987-ACCF-5EE6E39E948C}"/>
</file>

<file path=customXml/itemProps3.xml><?xml version="1.0" encoding="utf-8"?>
<ds:datastoreItem xmlns:ds="http://schemas.openxmlformats.org/officeDocument/2006/customXml" ds:itemID="{63EE2517-87F9-4F1E-B415-433A587A430D}"/>
</file>

<file path=customXml/itemProps4.xml><?xml version="1.0" encoding="utf-8"?>
<ds:datastoreItem xmlns:ds="http://schemas.openxmlformats.org/officeDocument/2006/customXml" ds:itemID="{3805D0BC-2729-4517-AE6C-F6334D51C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2017Salmanova</dc:title>
  <dc:subject/>
  <dc:creator>Осипова Элеонора Валерьевна</dc:creator>
  <cp:keywords/>
  <dc:description/>
  <cp:lastModifiedBy>Осипова Элеонора Валерьевна</cp:lastModifiedBy>
  <cp:revision>2</cp:revision>
  <dcterms:created xsi:type="dcterms:W3CDTF">2017-10-27T12:41:00Z</dcterms:created>
  <dcterms:modified xsi:type="dcterms:W3CDTF">2017-10-27T12:41:00Z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94b86adf-64a3-49fd-84be-e2512bb36be4</vt:lpwstr>
  </property>
</Properties>
</file>