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Дедов Д.И.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Судья ЕСПЧ от России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sz w:val="28"/>
          <w:szCs w:val="28"/>
          <w:lang w:val="ru-RU"/>
        </w:rPr>
      </w:pPr>
      <w:r>
        <w:rPr>
          <w:rFonts w:ascii="Bookman Old Style" w:hAnsi="Bookman Old Style"/>
          <w:b/>
          <w:sz w:val="28"/>
          <w:szCs w:val="28"/>
          <w:lang w:val="ru-RU"/>
        </w:rPr>
        <w:t>Методология конституционного правосудия и вызовы современности</w:t>
      </w:r>
      <w:r>
        <w:rPr>
          <w:rFonts w:ascii="Bookman Old Style" w:hAnsi="Bookman Old Style"/>
          <w:b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Методология конституционного правосудия к настоящему времени сформировалась в виде набора общих правовых принципов, которыми пользуются национальные конституционные суды. Но не только. Принципы универсальны. Ими пользуются и международные и национальные суды независимо от места в иерархии: от первой до высшей инстанции. Несмотря на различия в компетенции, которые существуют даже между конституционными судами, правовой инструментарий является универсальным, хотя и достаточно многообразным.</w:t>
      </w:r>
      <w:r>
        <w:rPr>
          <w:rFonts w:ascii="Bookman Old Style" w:hAnsi="Bookman Old Style"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К этим принципам можно отнести принцип правовой определённости (предсказуемости, правомерных ожиданий, обратной силы), соразмерности, отсутствия конфликта интересов, независимости и беспристрастности при принятии решений, должного процесса (хорошего администрирования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)Б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 xml:space="preserve"> баланса интересов. К ним также относят политически концептуальные основания, такие как правовое государство, демократия, верховенство права, права человека. Эти принципы объединяет не только наличие конституции и конституционного государства (конституции существовали и ранее), но и изменение природы права, государства и власти как таковой. Широкое распространение указанной методологии было вызвано общим осуждением фашизма и тоталитаризма после Второй Мировой войны и желанием международного сообщества не допустить этих проявлений в будущем. Помимо общих проблем в виде расизма, геноцида и дискриминации, существует еще одна причина для бурного развития указанной методологии, которая заключается в необходимости борьбы с произволом власти.</w:t>
      </w:r>
      <w:r>
        <w:rPr>
          <w:rFonts w:ascii="Bookman Old Style" w:hAnsi="Bookman Old Style"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Противодействие произволу меняет природу отношений между структурами власти и гражданами. Отмирают представления о праве как о нейтральной совокупности норм, регулирующих общественные отношения; или о праве как инструменте господствующего класса, поскольку эти концепции не имеют прививки от произвола. Напротив, новая модель конституционного государства полностью основана на ином </w:t>
      </w:r>
      <w:r>
        <w:rPr>
          <w:rFonts w:ascii="Bookman Old Style" w:hAnsi="Bookman Old Style"/>
          <w:sz w:val="28"/>
          <w:szCs w:val="28"/>
          <w:lang w:val="ru-RU"/>
        </w:rPr>
        <w:lastRenderedPageBreak/>
        <w:t>подходе: вот есть определенные свободы, которые являются фундаментальными для человека, и любое регулирование надо рассматривать как вмешательство и ограничение. Дальше идёт оценка вмешательства на предмет целесообразности, необходимости, законности, предсказуемости, соразмерности и т. д.</w:t>
      </w:r>
      <w:r>
        <w:rPr>
          <w:rFonts w:ascii="Bookman Old Style" w:hAnsi="Bookman Old Style"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Власть, какой бы легитимной она не была, уже не может сказать: я устанавливаю вот такие обязательные нормы или делаю вот такое принудительное предписание или воздействие, потому что я так хочу. Сегодня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становится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 xml:space="preserve"> очевидно, что победа на выборах не даёт права на произвольные меры или на абсолютную власть.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Убежденность в обратном со стороны обретающих власть (а это случается во многих демократических странах) представляет собой одну из самых печальных примет нашего времени.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 xml:space="preserve"> Одно из последних дел Большой Палаты Европейского Суда по правам человека (ЕСПЧ) "</w:t>
      </w:r>
      <w:r>
        <w:rPr>
          <w:rFonts w:ascii="Bookman Old Style" w:hAnsi="Bookman Old Style"/>
          <w:i/>
          <w:sz w:val="28"/>
          <w:szCs w:val="28"/>
          <w:lang w:val="ru-RU"/>
        </w:rPr>
        <w:t>Бака против Венгрии</w:t>
      </w:r>
      <w:r>
        <w:rPr>
          <w:rFonts w:ascii="Bookman Old Style" w:hAnsi="Bookman Old Style"/>
          <w:sz w:val="28"/>
          <w:szCs w:val="28"/>
          <w:lang w:val="ru-RU"/>
        </w:rPr>
        <w:t>" показывает, каким разрушительным может быть политический процесс в условиях формального наличия демократии.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Изменилось отношение к захвату власти, поскольку захват власти характеризуется насилием, как во время такого захвата, так и после - в связи с отсутствием в обществе консенсуса по поводу легитимности приобретенной власти. Более того, на фоне конституционных принципов ущербным становится и стремление к удержанию власти, которое сопровождается насилием со стороны власти из-за опасения потерять свою легитимность.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Прямое насилие является крайней формой воздействия, поэтому власть может применять и иные, менее жесткие формы, но каждый раз это сопровождается вмешательством в основные права и свободы, признанные в демократическом обществе, такие как право на мирные демонстрации, свободу выражения своего мнения, право на получение и передачу информации, которое обеспечивает прозрачность деятельности органов власти и государственных чиновников в целях борьбы с коррупцией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 xml:space="preserve">. Немалое значение имеет и тактика давления на оппозицию вплоть до лишения свободы или привлечение к уголовной ответственности, что влечет за собой судимость и создает препятствие к участию на выборах в качестве кандидатов. Так произошло с Энрике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Каприлес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в Венесуэле или с Алексеем Навальным в России.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lastRenderedPageBreak/>
        <w:t xml:space="preserve">Это означает, что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Фрэнсис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Фукуяма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серьёзно ошибся, когда утверждал, что демократия победила. То, что демократия является наиболее прогрессивным способом правления, было известно задолго до сделанного им вывода. Поэтому неслучайно каждое государство, желая быть в числе прогрессивных государств, декларирует приверженность демократии. Однако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Фукуяма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ошибся как философ, поскольку это заявление претендовало на абсолютную мировоззренческую истину, однако реализация принципов демократии редко происходит последовательно и неуклонно. Западные учёные часто хотят видеть лишь формальное наличие демократических институтов и не понимают, как на самом деле работает демократия. Например, западные специалисты выражают удивление по поводу экономического роста в Китае (что является объективной истиной) при отсутствии демократии в этой стране (что является субъективным суждением, не совсем соответствующим реальности). С другой стороны, понятно восхищение демократией в Индии со стороны Джона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Дана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>, известного британского эксперта, который, тем не менее, в своей книге «Не очаровываться демократией» отмечает, что расцвет демократического правления в Индии произошел после многолетней стагнации в политической сфере, хотя демократические институты существовали уже тогда. Вся история демократии, включая новейшее время, свидетельствует о постоянной борьбе за основные права и свободы против репрессий и ограничений. Это противостояние будет существовать всегда до тех пор, пока система сдержек и противовесов не станет настолько всеобъемлющей и эффективной, что будет обеспечивать социальное равенство в самом широком смысле, не ограничиваясь сферой разделения властей,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Уже довольно давно (лет 17 назад) Г. А. Гаджиев, судья Конституционного Суда РФ, в книге «Конституционные принципы рыночной экономики» отметил, что общие принципы недостаточно закрепить в основополагающем документе, они нуждаются в практической реализации. Я бы добавил: и не только в обычных делах, но и в делах политически чувствительных, а их становится все больше и больше, поскольку каждое применение методологии конституционного правосудия в таких делах воспринимается как посягательство на легитимность власти. Так вот,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это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 xml:space="preserve"> в общем нейтральное высказывание, основанное на</w:t>
      </w:r>
      <w:r>
        <w:rPr>
          <w:rFonts w:ascii="Bookman Old Style" w:hAnsi="Bookman Old Style"/>
          <w:sz w:val="28"/>
          <w:szCs w:val="28"/>
        </w:rPr>
        <w:t> </w:t>
      </w:r>
      <w:r>
        <w:rPr>
          <w:rFonts w:ascii="Bookman Old Style" w:hAnsi="Bookman Old Style"/>
          <w:sz w:val="28"/>
          <w:szCs w:val="28"/>
          <w:lang w:val="ru-RU"/>
        </w:rPr>
        <w:t xml:space="preserve"> советском опыте конституционализма, сегодня оказывается весьма актуальным </w:t>
      </w:r>
      <w:r>
        <w:rPr>
          <w:rFonts w:ascii="Bookman Old Style" w:hAnsi="Bookman Old Style"/>
          <w:sz w:val="28"/>
          <w:szCs w:val="28"/>
          <w:lang w:val="ru-RU"/>
        </w:rPr>
        <w:lastRenderedPageBreak/>
        <w:t>применительно к современным реалиям в самом широком смысле.</w:t>
      </w:r>
      <w:r>
        <w:rPr>
          <w:rFonts w:ascii="Bookman Old Style" w:hAnsi="Bookman Old Style"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Перед правосудием, а особенно перед конституционным правосудием стоит большое число вызовов. Во-первых, это вызовы политические. Происходит обострение отношений и противостояние между теми, кто относит себя к левым, глобалистам, либералам (они же составляют верхушку бюрократии, находящейся у власти), и правыми, которых правые называют популистами, выражающими мнение тех, кто не сумел адаптироваться в меняющемся мире ("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лузеров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>").</w:t>
      </w:r>
      <w:r>
        <w:rPr>
          <w:rFonts w:ascii="Bookman Old Style" w:hAnsi="Bookman Old Style"/>
          <w:sz w:val="28"/>
          <w:szCs w:val="28"/>
        </w:rPr>
        <w:t> </w:t>
      </w:r>
      <w:r>
        <w:rPr>
          <w:rFonts w:ascii="Bookman Old Style" w:hAnsi="Bookman Old Style"/>
          <w:sz w:val="28"/>
          <w:szCs w:val="28"/>
          <w:lang w:val="ru-RU"/>
        </w:rPr>
        <w:t xml:space="preserve">Их мнения об общественном развитии становятся не просто противоположными, а воинственно враждебными. Это оказывает влияние и на принятие судебных решений, поскольку судьи должны учитывать социальные и политические последствия принятия своих решений. Жан-Поль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Коста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, Президент ЕСПЧ в отставке, отмечает, что выбор основных прав и свобод, включенных в Европейскую Конвенцию о защите фундаментальных прав и свобод, являлся политическим выбором. Это означает, что защита этих прав и свобод на международном уровне и на национальном конституционном уровне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является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 xml:space="preserve"> по сути политической деятельностью. Однако в условиях противостояния между двумя противоположными концепциями, принятие любого значимого судебного решения будет оцениваться как выбор в соответствии с политическими предпочтениями судей. Так собственно и происходит, если вспомнить критику, которой подвергается Верховный Суд США за свои решения. Кроме этого, эта новая реальность стирает грань между политикой и фундаментальными основами существования общества.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Во-вторых, это методологические вызовы, поскольку ни кто не отменял позитивизм, юридический формализм или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оригинализм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, противостоящие эволюционному толкованию основного закона (я делаю здесь аналогию с толкованием Конвенции о защите фундаментальных прав и свобод). Судебный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активизм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и консерватизм неустанно борются друг с другом и сменяют друг друга как настроения в зависимости от политических предпочтений судей. Я уже не говорю о том, как не просто в таких условиях остаться беспристрастным и учесть социальные, экономические и иные последствия принятия решения.</w:t>
      </w:r>
      <w:r>
        <w:rPr>
          <w:rFonts w:ascii="Bookman Old Style" w:hAnsi="Bookman Old Style"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В-третьих, возросший </w:t>
      </w:r>
      <w:proofErr w:type="spellStart"/>
      <w:r>
        <w:rPr>
          <w:rFonts w:ascii="Bookman Old Style" w:hAnsi="Bookman Old Style"/>
          <w:sz w:val="28"/>
          <w:szCs w:val="28"/>
          <w:lang w:val="ru-RU"/>
        </w:rPr>
        <w:t>активизм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международных организаций на фоне доминирования глобалистов заставляет менять </w:t>
      </w:r>
      <w:r>
        <w:rPr>
          <w:rFonts w:ascii="Bookman Old Style" w:hAnsi="Bookman Old Style"/>
          <w:sz w:val="28"/>
          <w:szCs w:val="28"/>
          <w:lang w:val="ru-RU"/>
        </w:rPr>
        <w:lastRenderedPageBreak/>
        <w:t>национальную политику под лозунгом: вы с нами или против нас. Это приводит к совершенно новой концепции международного права - от консенсуса к давлению с обвинением в архаичности и противодействии прогрессу.</w:t>
      </w:r>
      <w:r>
        <w:rPr>
          <w:rFonts w:ascii="Bookman Old Style" w:hAnsi="Bookman Old Style"/>
          <w:sz w:val="28"/>
          <w:szCs w:val="28"/>
        </w:rPr>
        <w:t> </w:t>
      </w:r>
      <w:r>
        <w:rPr>
          <w:rFonts w:ascii="Bookman Old Style" w:hAnsi="Bookman Old Style"/>
          <w:sz w:val="28"/>
          <w:szCs w:val="28"/>
          <w:lang w:val="ru-RU"/>
        </w:rPr>
        <w:t xml:space="preserve"> Как естественный ответ на такое давление, этому противопоставляется защита национального суверенитета, «конституционной идентичности» (В.Д. Зорькин), которая в свою очередь наталкивается на критику со стороны левых глобалистов, сторонников безусловного и неограниченного примата международного права.</w:t>
      </w:r>
      <w:r>
        <w:rPr>
          <w:rFonts w:ascii="Bookman Old Style" w:hAnsi="Bookman Old Style"/>
          <w:sz w:val="28"/>
          <w:szCs w:val="28"/>
        </w:rPr>
        <w:t> 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В современных условиях чрезвычайно быстрое развитие технологий (прежде всего биотехнологий, средств передвижения</w:t>
      </w:r>
      <w:r>
        <w:rPr>
          <w:rFonts w:ascii="Bookman Old Style" w:hAnsi="Bookman Old Style"/>
          <w:sz w:val="28"/>
          <w:szCs w:val="28"/>
        </w:rPr>
        <w:t> </w:t>
      </w:r>
      <w:r>
        <w:rPr>
          <w:rFonts w:ascii="Bookman Old Style" w:hAnsi="Bookman Old Style"/>
          <w:sz w:val="28"/>
          <w:szCs w:val="28"/>
          <w:lang w:val="ru-RU"/>
        </w:rPr>
        <w:t xml:space="preserve"> и электронных коммуникаций) даёт возможность резко расширить сферу фундаментальных прав и свобод, но это уже не те естественные свободы, имеющие исключительно политический характер, которые провозгласила Великая французская революция. Они становятся средством международного влияния и давления таким образом, что это меняет сами базовые понятия произвола и борьбу с ним. Возникает проблема разрыва между техническим и социальным прогрессом. Мы не знаем точно, какие черты приобретёт новое общество ("о дивный новый мир"), если оно вообще когда-либо состоится. В этих условиях общие конституционные принципы остаются единственной возможностью для сохранения независимости, беспристрастности и для сохранения высокого качества правовых решений. 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А пока и глобалистов, и "популистов" волнует сохранение национальной и социальной идентичности (примерами этого являются постановления международных европейских судов, одобряющие запрет ношения мусульманской традиционной одежды: дела </w:t>
      </w:r>
      <w:proofErr w:type="spellStart"/>
      <w:r>
        <w:rPr>
          <w:rFonts w:ascii="Bookman Old Style" w:hAnsi="Bookman Old Style"/>
          <w:i/>
          <w:sz w:val="28"/>
          <w:szCs w:val="28"/>
        </w:rPr>
        <w:t>Achbita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  <w:lang w:val="ru-RU"/>
        </w:rPr>
        <w:t xml:space="preserve">-157/15 и </w:t>
      </w:r>
      <w:proofErr w:type="spellStart"/>
      <w:r>
        <w:rPr>
          <w:rFonts w:ascii="Bookman Old Style" w:hAnsi="Bookman Old Style"/>
          <w:i/>
          <w:sz w:val="28"/>
          <w:szCs w:val="28"/>
        </w:rPr>
        <w:t>Bougnaoui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  <w:lang w:val="ru-RU"/>
        </w:rPr>
        <w:t xml:space="preserve">-188/15 Суда справедливости ЕС и дело ЕСПЧ </w:t>
      </w:r>
      <w:proofErr w:type="spellStart"/>
      <w:r>
        <w:rPr>
          <w:rFonts w:ascii="Bookman Old Style" w:hAnsi="Bookman Old Style"/>
          <w:i/>
          <w:sz w:val="28"/>
          <w:szCs w:val="28"/>
        </w:rPr>
        <w:t>Osmanoglu</w:t>
      </w:r>
      <w:proofErr w:type="spellEnd"/>
      <w:r>
        <w:rPr>
          <w:rFonts w:ascii="Bookman Old Style" w:hAnsi="Bookman Old Style"/>
          <w:i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i/>
          <w:sz w:val="28"/>
          <w:szCs w:val="28"/>
        </w:rPr>
        <w:t>and</w:t>
      </w:r>
      <w:r>
        <w:rPr>
          <w:rFonts w:ascii="Bookman Old Style" w:hAnsi="Bookman Old Style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Bookman Old Style" w:hAnsi="Bookman Old Style"/>
          <w:i/>
          <w:sz w:val="28"/>
          <w:szCs w:val="28"/>
        </w:rPr>
        <w:t>Kocabas</w:t>
      </w:r>
      <w:proofErr w:type="spellEnd"/>
      <w:r>
        <w:rPr>
          <w:rFonts w:ascii="Bookman Old Style" w:hAnsi="Bookman Old Style"/>
          <w:i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i/>
          <w:sz w:val="28"/>
          <w:szCs w:val="28"/>
        </w:rPr>
        <w:t>v</w:t>
      </w:r>
      <w:r>
        <w:rPr>
          <w:rFonts w:ascii="Bookman Old Style" w:hAnsi="Bookman Old Style"/>
          <w:i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i/>
          <w:sz w:val="28"/>
          <w:szCs w:val="28"/>
        </w:rPr>
        <w:t>Switzerland</w:t>
      </w:r>
      <w:r>
        <w:rPr>
          <w:rFonts w:ascii="Bookman Old Style" w:hAnsi="Bookman Old Style"/>
          <w:sz w:val="28"/>
          <w:szCs w:val="28"/>
          <w:lang w:val="ru-RU"/>
        </w:rPr>
        <w:t xml:space="preserve">). Эти решения сложно признать соответствующими духу свободного </w:t>
      </w:r>
      <w:proofErr w:type="gramStart"/>
      <w:r>
        <w:rPr>
          <w:rFonts w:ascii="Bookman Old Style" w:hAnsi="Bookman Old Style"/>
          <w:sz w:val="28"/>
          <w:szCs w:val="28"/>
          <w:lang w:val="ru-RU"/>
        </w:rPr>
        <w:t>демократического общества</w:t>
      </w:r>
      <w:proofErr w:type="gramEnd"/>
      <w:r>
        <w:rPr>
          <w:rFonts w:ascii="Bookman Old Style" w:hAnsi="Bookman Old Style"/>
          <w:sz w:val="28"/>
          <w:szCs w:val="28"/>
          <w:lang w:val="ru-RU"/>
        </w:rPr>
        <w:t>, в котором господствует открытость, толерантность, широта взглядов (“</w:t>
      </w:r>
      <w:proofErr w:type="spellStart"/>
      <w:r>
        <w:rPr>
          <w:rFonts w:ascii="Bookman Old Style" w:hAnsi="Bookman Old Style"/>
          <w:sz w:val="28"/>
          <w:szCs w:val="28"/>
        </w:rPr>
        <w:t>broadmindness</w:t>
      </w:r>
      <w:proofErr w:type="spellEnd"/>
      <w:r>
        <w:rPr>
          <w:rFonts w:ascii="Bookman Old Style" w:hAnsi="Bookman Old Style"/>
          <w:sz w:val="28"/>
          <w:szCs w:val="28"/>
          <w:lang w:val="ru-RU"/>
        </w:rPr>
        <w:t xml:space="preserve">”) и плюрализм мнений. Эти решения основаны на идее соблюдения нейтралитета в публичной сфере (в указанных случаях в образовательных учреждениях или частных коммерческих организациях). Однако этот критерий (нейтральность) не соответствует характеру публичного интереса, закрепленного в части 3 статьи 55 Конституции или части 2 статьи 8 Европейской Конвенции о защите </w:t>
      </w:r>
      <w:r>
        <w:rPr>
          <w:rFonts w:ascii="Bookman Old Style" w:hAnsi="Bookman Old Style"/>
          <w:sz w:val="28"/>
          <w:szCs w:val="28"/>
          <w:lang w:val="ru-RU"/>
        </w:rPr>
        <w:lastRenderedPageBreak/>
        <w:t>фундаментальных прав и свобод человека. Таким образом, мы сталкиваемся со скрытыми мотивами не допустить слишком свободное распространение мусульманских традиций.</w:t>
      </w: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167309" w:rsidRDefault="00167309" w:rsidP="00167309">
      <w:pPr>
        <w:jc w:val="both"/>
        <w:rPr>
          <w:rFonts w:ascii="Bookman Old Style" w:eastAsia="Times New Roman" w:hAnsi="Bookman Old Style"/>
          <w:sz w:val="28"/>
          <w:szCs w:val="28"/>
          <w:lang w:val="ru-RU"/>
        </w:rPr>
      </w:pPr>
    </w:p>
    <w:p w:rsidR="00167309" w:rsidRDefault="00167309" w:rsidP="00167309">
      <w:pPr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EB7D6E" w:rsidRPr="00167309" w:rsidRDefault="00EB7D6E">
      <w:pPr>
        <w:rPr>
          <w:lang w:val="ru-RU"/>
        </w:rPr>
      </w:pPr>
      <w:bookmarkStart w:id="0" w:name="_GoBack"/>
      <w:bookmarkEnd w:id="0"/>
    </w:p>
    <w:sectPr w:rsidR="00EB7D6E" w:rsidRPr="0016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32"/>
    <w:rsid w:val="00167309"/>
    <w:rsid w:val="009D2032"/>
    <w:rsid w:val="00E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3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3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YTS2AAM2MAMQ-216-128</_dlc_DocId>
    <_dlc_DocIdUrl xmlns="5eaa5de6-3da6-4bfb-bdf9-3a6adb29c1e4">
      <Url>http://www.ksrf.ru/ru/Info/Conferences/_layouts/DocIdRedir.aspx?ID=YTS2AAM2MAMQ-216-128</Url>
      <Description>YTS2AAM2MAMQ-216-128</Description>
    </_dlc_DocIdUrl>
  </documentManagement>
</p:properties>
</file>

<file path=customXml/itemProps1.xml><?xml version="1.0" encoding="utf-8"?>
<ds:datastoreItem xmlns:ds="http://schemas.openxmlformats.org/officeDocument/2006/customXml" ds:itemID="{F446C009-EB39-497D-9813-81687E777CCB}"/>
</file>

<file path=customXml/itemProps2.xml><?xml version="1.0" encoding="utf-8"?>
<ds:datastoreItem xmlns:ds="http://schemas.openxmlformats.org/officeDocument/2006/customXml" ds:itemID="{19BC044F-E025-4BB9-9853-1EBD0290CE90}"/>
</file>

<file path=customXml/itemProps3.xml><?xml version="1.0" encoding="utf-8"?>
<ds:datastoreItem xmlns:ds="http://schemas.openxmlformats.org/officeDocument/2006/customXml" ds:itemID="{92C2C3F0-A524-4AB3-8A09-0C087CA24CD4}"/>
</file>

<file path=customXml/itemProps4.xml><?xml version="1.0" encoding="utf-8"?>
<ds:datastoreItem xmlns:ds="http://schemas.openxmlformats.org/officeDocument/2006/customXml" ds:itemID="{55C293B1-0C6A-4676-BCDF-528B7EA01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2017Dedov</dc:title>
  <dc:subject/>
  <dc:creator>Осипова Элеонора Валерьевна</dc:creator>
  <cp:keywords/>
  <dc:description/>
  <cp:lastModifiedBy>Осипова Элеонора Валерьевна</cp:lastModifiedBy>
  <cp:revision>2</cp:revision>
  <dcterms:created xsi:type="dcterms:W3CDTF">2017-10-27T12:33:00Z</dcterms:created>
  <dcterms:modified xsi:type="dcterms:W3CDTF">2017-10-27T12:34:00Z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5b9ce8af-8922-402a-b6c0-7a359b2a5382</vt:lpwstr>
  </property>
</Properties>
</file>