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AE" w:rsidRPr="001100AE" w:rsidRDefault="001100AE" w:rsidP="001100A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pacing w:val="-10"/>
          <w:kern w:val="28"/>
          <w:sz w:val="28"/>
          <w:szCs w:val="28"/>
        </w:rPr>
      </w:pPr>
      <w:r w:rsidRPr="001100AE">
        <w:rPr>
          <w:rFonts w:ascii="Times New Roman" w:eastAsia="Calibri" w:hAnsi="Times New Roman" w:cs="Times New Roman"/>
          <w:b/>
          <w:spacing w:val="-10"/>
          <w:kern w:val="28"/>
          <w:sz w:val="28"/>
          <w:szCs w:val="28"/>
        </w:rPr>
        <w:t xml:space="preserve">Актуальные проблемы практики Конституционного Суда Республики </w:t>
      </w:r>
      <w:bookmarkStart w:id="0" w:name="_GoBack"/>
      <w:bookmarkEnd w:id="0"/>
      <w:r w:rsidRPr="001100AE">
        <w:rPr>
          <w:rFonts w:ascii="Times New Roman" w:eastAsia="Calibri" w:hAnsi="Times New Roman" w:cs="Times New Roman"/>
          <w:b/>
          <w:spacing w:val="-10"/>
          <w:kern w:val="28"/>
          <w:sz w:val="28"/>
          <w:szCs w:val="28"/>
        </w:rPr>
        <w:t>Болгария</w:t>
      </w:r>
    </w:p>
    <w:p w:rsidR="001100AE" w:rsidRPr="001100AE" w:rsidRDefault="001100AE" w:rsidP="001100AE">
      <w:pPr>
        <w:spacing w:after="0" w:line="36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1100AE" w:rsidRPr="005D3B5B" w:rsidRDefault="005D3B5B" w:rsidP="005D3B5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D3B5B">
        <w:rPr>
          <w:rFonts w:ascii="Times New Roman" w:eastAsia="Times New Roman" w:hAnsi="Times New Roman" w:cs="Times New Roman"/>
          <w:b/>
          <w:i/>
          <w:sz w:val="28"/>
          <w:szCs w:val="28"/>
        </w:rPr>
        <w:t>Велчев</w:t>
      </w:r>
      <w:proofErr w:type="spellEnd"/>
      <w:r w:rsidR="00F9533A" w:rsidRPr="005D3B5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Б.</w:t>
      </w:r>
      <w:r w:rsidRPr="005D3B5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1100AE" w:rsidRPr="005D3B5B">
        <w:rPr>
          <w:rFonts w:ascii="Times New Roman" w:eastAsia="Times New Roman" w:hAnsi="Times New Roman" w:cs="Times New Roman"/>
          <w:i/>
          <w:sz w:val="28"/>
          <w:szCs w:val="28"/>
        </w:rPr>
        <w:t>Председатель Конституционного Суда Республики Болгария</w:t>
      </w:r>
    </w:p>
    <w:p w:rsidR="001100AE" w:rsidRPr="001100AE" w:rsidRDefault="001100AE" w:rsidP="001100AE">
      <w:pPr>
        <w:spacing w:after="0" w:line="360" w:lineRule="auto"/>
        <w:ind w:firstLine="709"/>
        <w:rPr>
          <w:rFonts w:ascii="Calibri" w:eastAsia="Times New Roman" w:hAnsi="Calibri" w:cs="Times New Roman"/>
          <w:sz w:val="28"/>
          <w:szCs w:val="28"/>
        </w:rPr>
      </w:pP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Основной функцией конституционного правосудия является обеспечение верховенства Конституции и заложенных в ней фундаментальных принципов, на которых основывается правовое государство и которые гарантируют свободу, равенство и права людей. Данная роль имеет особое значение в динамичном мире, в котором мы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живем и в котором глобализация не представляет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собой лишь понятия чисто экономического или финансового аспекта. Усиление экономических, социальных, культурных и политических связей неизменно приводит к развитию общественных отношений и к необходимости изменений в их регулировании. Конституционное правосудие устанавливает границы и балансирует политическую власть законодателя, так как оно есть источник,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дефинирующий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принципы правового государства, на которых зиждется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демократическое общество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и которые обеспечивают верховенство закона. В этом смысле конституционные суды в своей деятельности, с одной стороны, должны придерживаться принципов правовой безопасности и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предвидимости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, но, с другой, 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им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необходимо адекватно учитывать меняющиеся условия и развитие общественных отношений с тем, чтобы их практика была не теоретичной и стерильной, а применимой и эффективной.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десятилетия развитие технологий и коммуникаций изменило и продолжает в исключительно высоком темпе непрерывно изменять нашу среду обитания. Возможность неограниченного общения, быстрого обмена информацией и свобода передвижения привела к изменениям в 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приемах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различных террористических организаций,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соответственно, к новым угрозам безопасности в международном плане. Террористические атаки и беспрецедентная волна мигрантов, залившая Европу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– исключительные вызовы в сфере безопасности. Наблюдается зарождение идей и тенденций, прокламирующих в качестве возможного подхода для решения этих проблем ограничение свобод за счет безопасности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– очередной вызов современного мира конституционному правосудию. Безопасность – это обязанность государства, оно располагает достаточными ресурсами и механизмами для выполнения этой своей обязанности без неоправданного посягательства на неотъемлемые права граждан. В цивилизованном и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единственно государство обладает легитимной монополией на насилие. При устранении новых угроз необходимо найти адекватный баланс защиты различных интересов. Ограничения, которые необходимо ввести, должны быть соразмерными и не налагать рестрикций, превышающих необходимую для достижения соответствующих целей меру. Именно конституционным судам следует сдерживать законодателя и напоминать ему неотменяемость фундаментальных прав и свобод человека, даже в ситуациях нестабильности 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и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дефицита безопасности. Конституционное правосудие призвано следить за тем, дают ли принятые меры безопасности достаточные гарантии соблюдения таких основных прав, как право на жизнь, на личное достоинство, на физическую неприкосновенность.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В своей практике Конституционный Суд Болгарии имел возможность вынести решение относительно пропорциональности меры, представляющей вмешательство в сферу личной жизни граждан, с защищаемой ею легитимной целью в области безопасности, как и относительно необходимых гарантий, которые законодателю следует предусмотреть в подобных случаях. Решением от 2015 года Конституционный Суд объявил противоречащими конституции положения Закона об электронных сообщениях, вводящих режим сохранения,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хранения, доступа, эксплуатации и уничтожения данных телекоммуникационного трафика. В своих мотивах 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уд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указал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, что хранение данных всего телекоммуникационного трафика без повода и в целях использования для нужд предотвращения, раскрытия и расследования тяжких преступлений нельзя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дефинитивно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отрицать. Его нельзя ра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ссматривать как противоречащее К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онституции, если конституционная проверка установит соблюдение требования того, чтобы ограничение было урегулировано законом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;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находилось в рамках предусмотренного основным законом исключения из права неприкосновенности личной жизни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;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было подчинено легитимной цели в общих интересах, какой, несомненно, является борьба с преступностью и терроризмом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;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как и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учитывать принцип пропорциональности. Суд отметил, что часть преступлений нельзя было бы убедительно раскрыть и полноценно расследовать без исследования и анализа данных трафика (напр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имер,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деяния, связанные с детской порнографией, торговлей людьми и др.), в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с чем неприемлемо предварительное отрицание мер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введенных посредством оспоренных положений. В целях д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остижения сформулированных таким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образом легитимных целей, необходимым и подходящим в условиях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демократического общества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именно такое хранение данных, в ходе которого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сообразно принципу пропорциональности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вмешательство не было бы чрезмерным. 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>С другой стороны, в своем решении Конституционный Суд отмечает, что правовая база должна создавать и гарантировать граждан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ам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уверенность, что исключены возможности злоупотребления их данными как со стороны государственных органов, которым обеспечен доступ к ним, так и со стороны коммерческих компаний, предоставляющих соответствующие коммуникационные сети и услуги. 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>В заключение Конституционный Суд счел, что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5E37" w:rsidRPr="001100AE">
        <w:rPr>
          <w:rFonts w:ascii="Times New Roman" w:eastAsia="Times New Roman" w:hAnsi="Times New Roman" w:cs="Times New Roman"/>
          <w:sz w:val="28"/>
          <w:szCs w:val="28"/>
        </w:rPr>
        <w:t>мера, связанная со сбором и хранением данных всего телекоммуникационного трафика, являющаяся вмешательством в личную жизнь граждан</w:t>
      </w:r>
      <w:proofErr w:type="gramStart"/>
      <w:r w:rsidR="00A35E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хотя и введена как средство достижения легитимной цели в общих интересах, для ее оценки в качестве необходимой, подходящей и соразмерной в условиях демократического общества, должна быть урегулирована в порядке, соответствующем наивысшим возможным стандартам безопасности прав людей. Суд счел, что действующая правовая регламентация в целом не обеспечивает этих стандартов. В своем решении Суд особо подчеркнул, что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хотя борьба с тяжкими преступлениями, включительно с организованной преступностью и терроризмом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защита государства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гарантирование национальной безопасности и конституционной системы представляют собой цели фундаментального значения, они не могут оправдать неограниченно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го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вмешательства в права человека, в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с чем любое законодательное решение в этой столь деликатной области должно обеспечивать справедливый баланс между интересами отдельной личности и интересами общества в целом.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В этом смысле Конституционный Суд полностью разделяет позицию, выраженную ЕСПЧ в его решении по делу 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Класс и другие против Федеративной Республики Германии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» («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Klass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others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v.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Germany</w:t>
      </w:r>
      <w:proofErr w:type="spellEnd"/>
      <w:r w:rsidR="00A35E3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, 1978 г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>ода)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, а именно что установление наблюдения без адекватных и достаточных мер безопасности может разрушить демократию под </w:t>
      </w:r>
      <w:proofErr w:type="spellStart"/>
      <w:r w:rsidRPr="001100AE">
        <w:rPr>
          <w:rFonts w:ascii="Times New Roman" w:eastAsia="Times New Roman" w:hAnsi="Times New Roman" w:cs="Times New Roman"/>
          <w:sz w:val="28"/>
          <w:szCs w:val="28"/>
        </w:rPr>
        <w:t>претекстом</w:t>
      </w:r>
      <w:proofErr w:type="spell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ее защиты.</w:t>
      </w:r>
      <w:proofErr w:type="gramEnd"/>
    </w:p>
    <w:p w:rsidR="001100AE" w:rsidRPr="001100AE" w:rsidRDefault="00A35E37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Конституционный С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>уд как государственный орган призван обеспечивать верховенство Конституции, внимательно следить за каждой инициативой, направленной на изменение основного закона. В декабре 2015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 xml:space="preserve">арламент страны принял Закон об изменениях и дополнениях Конституции Республики Болгария. Это пятое по счету изменение Конституции; его основная цель – способствовать реформе судебной власти. Ранее в том же году парламент своим решением одобрил 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>«Актуализированную стратегию продолжения реформы судебной системы». В указанной стратегии в качестве гарантии верховенства закона предусмотрена прямая конституционная жалоба. На данном этапе, однако, болгарский законодатель, к сожалению, не решился расширить до такой степени доступ к конституционному правосудию. Изменением основного закона от 2006 г</w:t>
      </w:r>
      <w:r w:rsidR="001100AE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 xml:space="preserve"> омбудсмен получил ограниченное правомочие обращения в Конституционный Суд на предмет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противоречия К</w:t>
      </w:r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 xml:space="preserve">онституции закона, которым нарушаются права и свободы граждан. Это был первый шаг к возможности обращения граждан в Конституционный Суд, хотя и посредством института омбудсмена. Ввиду широкого круга вопросов и проблем, по которым люди обращаются к нему, омбудсмен реально </w:t>
      </w:r>
      <w:proofErr w:type="gramStart"/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>выполняет роль</w:t>
      </w:r>
      <w:proofErr w:type="gramEnd"/>
      <w:r w:rsidR="001100AE" w:rsidRPr="001100AE">
        <w:rPr>
          <w:rFonts w:ascii="Times New Roman" w:eastAsia="Times New Roman" w:hAnsi="Times New Roman" w:cs="Times New Roman"/>
          <w:sz w:val="28"/>
          <w:szCs w:val="28"/>
        </w:rPr>
        <w:t xml:space="preserve"> посредника, гарантирующего желанный доступ граждан к Конституционному Суду. 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>После последних изменений Конституции Республики Болгария от декабря 2015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уже и Высший адвокатский совет может обращаться в Конституционный</w:t>
      </w:r>
      <w:r w:rsidR="00A35E37">
        <w:rPr>
          <w:rFonts w:ascii="Times New Roman" w:eastAsia="Times New Roman" w:hAnsi="Times New Roman" w:cs="Times New Roman"/>
          <w:sz w:val="28"/>
          <w:szCs w:val="28"/>
        </w:rPr>
        <w:t xml:space="preserve"> Суд с запросом о противоречии К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онституции закона, которым нарушаются права и свободы граждан, что представляет собой еще одну, хотя и непрямую, возможность доступа граждан к конституционному правосудию. Упомянутая ранее актуализированная стратегия имеет временной горизонт в 7 лет, и в рамках этого периода было бы удачно в процессе какого-либо последующего изменения и дополнения Конституции провести широкую общественную и экспертную дискуссию относительно необходимости введения прямой конституционной жалобы.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Как мною уже было подчеркнуто,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и дополнения Конституции после ее принятия в 1991 г</w:t>
      </w:r>
      <w:r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связаны, прежде всего, с судебной властью. Реформа судебной системы – это процесс, протекающий в Болгарии в разном темпе на протяжении более чем десяти лет. И если имеются расхождения в видении политиков, магистратов и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гражданского общества относительно того способа, по которому следует осуществить реформу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и по ее содержанию, то консенсус относительно необходимости реформы бесспорен. Каким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бы то ни были, однако, позиции относительно судебной реформы, они объединены требованием, безусловно принят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всеми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– гарантировать независимость судебной власти. Данная независимость заложена в основу любого демократического общества. Своей деятельностью Конституционный Суд доказал, что является гарантом сохранения верховенства Конституции, следя за тем, чтобы основные принципы, заложенные в нее, среди которых также независимость судебной власти, не нарушались при принятии изменений и дополнений в основной закон. Конституционный Суд </w:t>
      </w:r>
      <w:r w:rsidRPr="001100AE">
        <w:rPr>
          <w:rFonts w:ascii="Times New Roman" w:eastAsia="Times New Roman" w:hAnsi="Times New Roman" w:cs="Times New Roman"/>
          <w:sz w:val="28"/>
          <w:szCs w:val="28"/>
          <w:lang w:val="bg-BG"/>
        </w:rPr>
        <w:t>постановил решения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по двум запросам Верховного кассационного суда по отношению положений, принятых Законом об изменении и дополнении Конституции Республики Болгария. 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>Решением от 2006 г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Конституционный Суд объявил противоречащим 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онституции изменение Конституции, предусматривающее, что руководители верховных судов и Генеральный прокурор в случае совершения тяжкого нарушения или системного невыполнения служебных обязанностей, как и за действия, роняющие престиж судебной власти, могут быть устранены президентом по предложению 2/3 депутатов парламента.</w:t>
      </w:r>
      <w:proofErr w:type="gramEnd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По мнению суда, данной поправкой была нарушена заложенная в Конституции модель функционирования властей и принципы правового государства. Другим решением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 xml:space="preserve"> в том же году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Конституционный Суд отклонил как неосновательный запрос об установлении противоречия 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онституции другого положения Конституции, согласно которому министр юстиции может выдвигать предложения о назначении, повышении, понижении, переходе на другую работу и освобождении от должности судей, прокуроров и следователей. 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Своей толковательной деятельностью Конституционный Суд также очерчивает границы, в которых допустимо изменение основного закона Парламентом страны. Своими решениями по двум толковательным делам Конституционный Суд дал обязательное толкование вопросов, связанных с формой государственного устройства и государственного управления. Принято, что изменение рамки взаимоотношений между институтами, которая определена учредительной властью, может быть осуществлено не Парламентом обычного состава (240 </w:t>
      </w:r>
      <w:r>
        <w:rPr>
          <w:rFonts w:ascii="Times New Roman" w:eastAsia="Times New Roman" w:hAnsi="Times New Roman" w:cs="Times New Roman"/>
          <w:sz w:val="28"/>
          <w:szCs w:val="28"/>
        </w:rPr>
        <w:t>депутатов), а единственно т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ак называемым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Великим Народным собранием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(400 депутатов).</w:t>
      </w:r>
    </w:p>
    <w:p w:rsidR="001100AE" w:rsidRPr="001100AE" w:rsidRDefault="001100AE" w:rsidP="001100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В связи с последним изменением и дополнением Конституции Республики Болгария, требующим будущих изменений и дополнений Закона о судебной власти и процессуальных законов, возможно, что перед Конституционным Судом будут поставлены для решения существенные вопросы, связанные с устройством и функционированием судебной власти. Практика Конституционного Суда показывает, что почти каждое изменение и дополнение регулирующих законов, касающееся судебной власти, приводит к обращению и, соответственно, к решению Конституционного Суда в связи с фундаментальным значением независимости судебной власти для гарантирования верховенства закона и прав и свобод граждан в правовом государстве. </w:t>
      </w:r>
    </w:p>
    <w:p w:rsidR="00636AC6" w:rsidRPr="001100AE" w:rsidRDefault="001100AE" w:rsidP="00466CC7">
      <w:pPr>
        <w:spacing w:after="0" w:line="360" w:lineRule="auto"/>
        <w:ind w:firstLine="709"/>
        <w:jc w:val="both"/>
        <w:rPr>
          <w:sz w:val="28"/>
          <w:szCs w:val="28"/>
          <w:lang w:val="bg-BG"/>
        </w:rPr>
      </w:pPr>
      <w:r w:rsidRPr="001100AE">
        <w:rPr>
          <w:rFonts w:ascii="Times New Roman" w:eastAsia="Times New Roman" w:hAnsi="Times New Roman" w:cs="Times New Roman"/>
          <w:sz w:val="28"/>
          <w:szCs w:val="28"/>
        </w:rPr>
        <w:t>Таковы два основных вызова, стоящи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перед нами, которые уже сейчас могут быть спрогнозированы</w:t>
      </w:r>
      <w:proofErr w:type="gramStart"/>
      <w:r w:rsidRPr="00110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78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FE2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0AE">
        <w:rPr>
          <w:rFonts w:ascii="Times New Roman" w:eastAsia="Times New Roman" w:hAnsi="Times New Roman" w:cs="Times New Roman"/>
          <w:sz w:val="28"/>
          <w:szCs w:val="28"/>
        </w:rPr>
        <w:t>– обращение к нам в связи с будущим законодательством, которое будет регулировать борьбу с терроризмом и преступностью, и обращение в связи с законодательством, которое должно будет обеспечить судебную реформу, гарантируя при этом в то же время независимость судебной власти.</w:t>
      </w:r>
    </w:p>
    <w:sectPr w:rsidR="00636AC6" w:rsidRPr="001100AE" w:rsidSect="001100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43" w:rsidRDefault="003F2443" w:rsidP="001100AE">
      <w:pPr>
        <w:spacing w:after="0" w:line="240" w:lineRule="auto"/>
      </w:pPr>
      <w:r>
        <w:separator/>
      </w:r>
    </w:p>
  </w:endnote>
  <w:endnote w:type="continuationSeparator" w:id="0">
    <w:p w:rsidR="003F2443" w:rsidRDefault="003F2443" w:rsidP="0011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0BD" w:rsidRDefault="001100A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3B5B">
      <w:rPr>
        <w:noProof/>
      </w:rPr>
      <w:t>3</w:t>
    </w:r>
    <w:r>
      <w:fldChar w:fldCharType="end"/>
    </w:r>
  </w:p>
  <w:p w:rsidR="001570BD" w:rsidRDefault="005D3B5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43" w:rsidRDefault="003F2443" w:rsidP="001100AE">
      <w:pPr>
        <w:spacing w:after="0" w:line="240" w:lineRule="auto"/>
      </w:pPr>
      <w:r>
        <w:separator/>
      </w:r>
    </w:p>
  </w:footnote>
  <w:footnote w:type="continuationSeparator" w:id="0">
    <w:p w:rsidR="003F2443" w:rsidRDefault="003F2443" w:rsidP="0011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149599"/>
      <w:docPartObj>
        <w:docPartGallery w:val="Page Numbers (Top of Page)"/>
        <w:docPartUnique/>
      </w:docPartObj>
    </w:sdtPr>
    <w:sdtEndPr/>
    <w:sdtContent>
      <w:p w:rsidR="001100AE" w:rsidRDefault="001100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B5B" w:rsidRPr="005D3B5B">
          <w:rPr>
            <w:noProof/>
            <w:lang w:val="ru-RU"/>
          </w:rPr>
          <w:t>3</w:t>
        </w:r>
        <w:r>
          <w:fldChar w:fldCharType="end"/>
        </w:r>
      </w:p>
    </w:sdtContent>
  </w:sdt>
  <w:p w:rsidR="001100AE" w:rsidRDefault="001100A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6C8C"/>
    <w:multiLevelType w:val="hybridMultilevel"/>
    <w:tmpl w:val="E8FEF5D8"/>
    <w:lvl w:ilvl="0" w:tplc="588A1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AE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00AE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3F2443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CC7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3B5B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35E37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9533A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2787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100AE"/>
  </w:style>
  <w:style w:type="paragraph" w:styleId="a3">
    <w:name w:val="List Paragraph"/>
    <w:basedOn w:val="a"/>
    <w:qFormat/>
    <w:rsid w:val="001100AE"/>
    <w:pPr>
      <w:ind w:left="720"/>
      <w:contextualSpacing/>
    </w:pPr>
    <w:rPr>
      <w:rFonts w:ascii="Calibri" w:eastAsia="Times New Roman" w:hAnsi="Calibri" w:cs="Times New Roman"/>
      <w:lang w:val="bg-BG"/>
    </w:rPr>
  </w:style>
  <w:style w:type="paragraph" w:styleId="a4">
    <w:name w:val="Normal (Web)"/>
    <w:basedOn w:val="a"/>
    <w:semiHidden/>
    <w:rsid w:val="001100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5">
    <w:name w:val="Emphasis"/>
    <w:qFormat/>
    <w:rsid w:val="001100AE"/>
    <w:rPr>
      <w:rFonts w:cs="Times New Roman"/>
      <w:i/>
      <w:iCs/>
    </w:rPr>
  </w:style>
  <w:style w:type="character" w:styleId="a6">
    <w:name w:val="Hyperlink"/>
    <w:rsid w:val="001100AE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semiHidden/>
    <w:rsid w:val="001100A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g-BG"/>
    </w:rPr>
  </w:style>
  <w:style w:type="character" w:customStyle="1" w:styleId="a8">
    <w:name w:val="Текст сноски Знак"/>
    <w:basedOn w:val="a0"/>
    <w:link w:val="a7"/>
    <w:semiHidden/>
    <w:rsid w:val="001100AE"/>
    <w:rPr>
      <w:rFonts w:ascii="Calibri" w:eastAsia="Times New Roman" w:hAnsi="Calibri" w:cs="Times New Roman"/>
      <w:sz w:val="20"/>
      <w:szCs w:val="20"/>
      <w:lang w:val="bg-BG"/>
    </w:rPr>
  </w:style>
  <w:style w:type="character" w:styleId="a9">
    <w:name w:val="footnote reference"/>
    <w:semiHidden/>
    <w:rsid w:val="001100AE"/>
    <w:rPr>
      <w:rFonts w:cs="Times New Roman"/>
      <w:vertAlign w:val="superscript"/>
    </w:rPr>
  </w:style>
  <w:style w:type="paragraph" w:customStyle="1" w:styleId="Default">
    <w:name w:val="Default"/>
    <w:rsid w:val="0011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/>
    </w:rPr>
  </w:style>
  <w:style w:type="paragraph" w:styleId="aa">
    <w:name w:val="header"/>
    <w:basedOn w:val="a"/>
    <w:link w:val="ab"/>
    <w:uiPriority w:val="99"/>
    <w:rsid w:val="001100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g-BG"/>
    </w:rPr>
  </w:style>
  <w:style w:type="character" w:customStyle="1" w:styleId="ab">
    <w:name w:val="Верхний колонтитул Знак"/>
    <w:basedOn w:val="a0"/>
    <w:link w:val="aa"/>
    <w:uiPriority w:val="99"/>
    <w:rsid w:val="001100AE"/>
    <w:rPr>
      <w:rFonts w:ascii="Calibri" w:eastAsia="Times New Roman" w:hAnsi="Calibri" w:cs="Times New Roman"/>
      <w:lang w:val="bg-BG"/>
    </w:rPr>
  </w:style>
  <w:style w:type="paragraph" w:styleId="ac">
    <w:name w:val="footer"/>
    <w:basedOn w:val="a"/>
    <w:link w:val="ad"/>
    <w:rsid w:val="001100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g-BG"/>
    </w:rPr>
  </w:style>
  <w:style w:type="character" w:customStyle="1" w:styleId="ad">
    <w:name w:val="Нижний колонтитул Знак"/>
    <w:basedOn w:val="a0"/>
    <w:link w:val="ac"/>
    <w:rsid w:val="001100AE"/>
    <w:rPr>
      <w:rFonts w:ascii="Calibri" w:eastAsia="Times New Roman" w:hAnsi="Calibri" w:cs="Times New Roman"/>
      <w:lang w:val="bg-BG"/>
    </w:rPr>
  </w:style>
  <w:style w:type="paragraph" w:styleId="ae">
    <w:name w:val="Balloon Text"/>
    <w:basedOn w:val="a"/>
    <w:link w:val="af"/>
    <w:semiHidden/>
    <w:rsid w:val="001100AE"/>
    <w:pPr>
      <w:spacing w:after="0" w:line="240" w:lineRule="auto"/>
    </w:pPr>
    <w:rPr>
      <w:rFonts w:ascii="Tahoma" w:eastAsia="Times New Roman" w:hAnsi="Tahoma" w:cs="Tahoma"/>
      <w:sz w:val="16"/>
      <w:szCs w:val="16"/>
      <w:lang w:val="bg-BG"/>
    </w:rPr>
  </w:style>
  <w:style w:type="character" w:customStyle="1" w:styleId="af">
    <w:name w:val="Текст выноски Знак"/>
    <w:basedOn w:val="a0"/>
    <w:link w:val="ae"/>
    <w:semiHidden/>
    <w:rsid w:val="001100AE"/>
    <w:rPr>
      <w:rFonts w:ascii="Tahoma" w:eastAsia="Times New Roman" w:hAnsi="Tahoma" w:cs="Tahoma"/>
      <w:sz w:val="16"/>
      <w:szCs w:val="16"/>
      <w:lang w:val="bg-BG"/>
    </w:rPr>
  </w:style>
  <w:style w:type="paragraph" w:styleId="af0">
    <w:name w:val="Title"/>
    <w:basedOn w:val="a"/>
    <w:next w:val="a"/>
    <w:link w:val="af1"/>
    <w:qFormat/>
    <w:rsid w:val="001100AE"/>
    <w:pPr>
      <w:spacing w:after="0" w:line="240" w:lineRule="auto"/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bg-BG"/>
    </w:rPr>
  </w:style>
  <w:style w:type="character" w:customStyle="1" w:styleId="af1">
    <w:name w:val="Название Знак"/>
    <w:basedOn w:val="a0"/>
    <w:link w:val="af0"/>
    <w:rsid w:val="001100AE"/>
    <w:rPr>
      <w:rFonts w:ascii="Cambria" w:eastAsia="Calibri" w:hAnsi="Cambria" w:cs="Times New Roman"/>
      <w:spacing w:val="-10"/>
      <w:kern w:val="28"/>
      <w:sz w:val="56"/>
      <w:szCs w:val="5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1100AE"/>
  </w:style>
  <w:style w:type="paragraph" w:styleId="a3">
    <w:name w:val="List Paragraph"/>
    <w:basedOn w:val="a"/>
    <w:qFormat/>
    <w:rsid w:val="001100AE"/>
    <w:pPr>
      <w:ind w:left="720"/>
      <w:contextualSpacing/>
    </w:pPr>
    <w:rPr>
      <w:rFonts w:ascii="Calibri" w:eastAsia="Times New Roman" w:hAnsi="Calibri" w:cs="Times New Roman"/>
      <w:lang w:val="bg-BG"/>
    </w:rPr>
  </w:style>
  <w:style w:type="paragraph" w:styleId="a4">
    <w:name w:val="Normal (Web)"/>
    <w:basedOn w:val="a"/>
    <w:semiHidden/>
    <w:rsid w:val="001100A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character" w:styleId="a5">
    <w:name w:val="Emphasis"/>
    <w:qFormat/>
    <w:rsid w:val="001100AE"/>
    <w:rPr>
      <w:rFonts w:cs="Times New Roman"/>
      <w:i/>
      <w:iCs/>
    </w:rPr>
  </w:style>
  <w:style w:type="character" w:styleId="a6">
    <w:name w:val="Hyperlink"/>
    <w:rsid w:val="001100AE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semiHidden/>
    <w:rsid w:val="001100A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g-BG"/>
    </w:rPr>
  </w:style>
  <w:style w:type="character" w:customStyle="1" w:styleId="a8">
    <w:name w:val="Текст сноски Знак"/>
    <w:basedOn w:val="a0"/>
    <w:link w:val="a7"/>
    <w:semiHidden/>
    <w:rsid w:val="001100AE"/>
    <w:rPr>
      <w:rFonts w:ascii="Calibri" w:eastAsia="Times New Roman" w:hAnsi="Calibri" w:cs="Times New Roman"/>
      <w:sz w:val="20"/>
      <w:szCs w:val="20"/>
      <w:lang w:val="bg-BG"/>
    </w:rPr>
  </w:style>
  <w:style w:type="character" w:styleId="a9">
    <w:name w:val="footnote reference"/>
    <w:semiHidden/>
    <w:rsid w:val="001100AE"/>
    <w:rPr>
      <w:rFonts w:cs="Times New Roman"/>
      <w:vertAlign w:val="superscript"/>
    </w:rPr>
  </w:style>
  <w:style w:type="paragraph" w:customStyle="1" w:styleId="Default">
    <w:name w:val="Default"/>
    <w:rsid w:val="0011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/>
    </w:rPr>
  </w:style>
  <w:style w:type="paragraph" w:styleId="aa">
    <w:name w:val="header"/>
    <w:basedOn w:val="a"/>
    <w:link w:val="ab"/>
    <w:uiPriority w:val="99"/>
    <w:rsid w:val="001100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g-BG"/>
    </w:rPr>
  </w:style>
  <w:style w:type="character" w:customStyle="1" w:styleId="ab">
    <w:name w:val="Верхний колонтитул Знак"/>
    <w:basedOn w:val="a0"/>
    <w:link w:val="aa"/>
    <w:uiPriority w:val="99"/>
    <w:rsid w:val="001100AE"/>
    <w:rPr>
      <w:rFonts w:ascii="Calibri" w:eastAsia="Times New Roman" w:hAnsi="Calibri" w:cs="Times New Roman"/>
      <w:lang w:val="bg-BG"/>
    </w:rPr>
  </w:style>
  <w:style w:type="paragraph" w:styleId="ac">
    <w:name w:val="footer"/>
    <w:basedOn w:val="a"/>
    <w:link w:val="ad"/>
    <w:rsid w:val="001100A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val="bg-BG"/>
    </w:rPr>
  </w:style>
  <w:style w:type="character" w:customStyle="1" w:styleId="ad">
    <w:name w:val="Нижний колонтитул Знак"/>
    <w:basedOn w:val="a0"/>
    <w:link w:val="ac"/>
    <w:rsid w:val="001100AE"/>
    <w:rPr>
      <w:rFonts w:ascii="Calibri" w:eastAsia="Times New Roman" w:hAnsi="Calibri" w:cs="Times New Roman"/>
      <w:lang w:val="bg-BG"/>
    </w:rPr>
  </w:style>
  <w:style w:type="paragraph" w:styleId="ae">
    <w:name w:val="Balloon Text"/>
    <w:basedOn w:val="a"/>
    <w:link w:val="af"/>
    <w:semiHidden/>
    <w:rsid w:val="001100AE"/>
    <w:pPr>
      <w:spacing w:after="0" w:line="240" w:lineRule="auto"/>
    </w:pPr>
    <w:rPr>
      <w:rFonts w:ascii="Tahoma" w:eastAsia="Times New Roman" w:hAnsi="Tahoma" w:cs="Tahoma"/>
      <w:sz w:val="16"/>
      <w:szCs w:val="16"/>
      <w:lang w:val="bg-BG"/>
    </w:rPr>
  </w:style>
  <w:style w:type="character" w:customStyle="1" w:styleId="af">
    <w:name w:val="Текст выноски Знак"/>
    <w:basedOn w:val="a0"/>
    <w:link w:val="ae"/>
    <w:semiHidden/>
    <w:rsid w:val="001100AE"/>
    <w:rPr>
      <w:rFonts w:ascii="Tahoma" w:eastAsia="Times New Roman" w:hAnsi="Tahoma" w:cs="Tahoma"/>
      <w:sz w:val="16"/>
      <w:szCs w:val="16"/>
      <w:lang w:val="bg-BG"/>
    </w:rPr>
  </w:style>
  <w:style w:type="paragraph" w:styleId="af0">
    <w:name w:val="Title"/>
    <w:basedOn w:val="a"/>
    <w:next w:val="a"/>
    <w:link w:val="af1"/>
    <w:qFormat/>
    <w:rsid w:val="001100AE"/>
    <w:pPr>
      <w:spacing w:after="0" w:line="240" w:lineRule="auto"/>
      <w:contextualSpacing/>
    </w:pPr>
    <w:rPr>
      <w:rFonts w:ascii="Cambria" w:eastAsia="Calibri" w:hAnsi="Cambria" w:cs="Times New Roman"/>
      <w:spacing w:val="-10"/>
      <w:kern w:val="28"/>
      <w:sz w:val="56"/>
      <w:szCs w:val="56"/>
      <w:lang w:val="bg-BG"/>
    </w:rPr>
  </w:style>
  <w:style w:type="character" w:customStyle="1" w:styleId="af1">
    <w:name w:val="Название Знак"/>
    <w:basedOn w:val="a0"/>
    <w:link w:val="af0"/>
    <w:rsid w:val="001100AE"/>
    <w:rPr>
      <w:rFonts w:ascii="Cambria" w:eastAsia="Calibri" w:hAnsi="Cambria" w:cs="Times New Roman"/>
      <w:spacing w:val="-10"/>
      <w:kern w:val="28"/>
      <w:sz w:val="56"/>
      <w:szCs w:val="5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YTS2AAM2MAMQ-216-66</_dlc_DocId>
    <_dlc_DocIdUrl xmlns="5eaa5de6-3da6-4bfb-bdf9-3a6adb29c1e4">
      <Url>http://www.ksrf.ru/ru/Info/Conferences/_layouts/DocIdRedir.aspx?ID=YTS2AAM2MAMQ-216-66</Url>
      <Description>YTS2AAM2MAMQ-216-66</Description>
    </_dlc_DocIdUrl>
    <_dlc_DocIdPersistId xmlns="5eaa5de6-3da6-4bfb-bdf9-3a6adb29c1e4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1015F-E4EE-45B2-A095-F46C852E5785}"/>
</file>

<file path=customXml/itemProps2.xml><?xml version="1.0" encoding="utf-8"?>
<ds:datastoreItem xmlns:ds="http://schemas.openxmlformats.org/officeDocument/2006/customXml" ds:itemID="{E6A8465E-093F-4BC6-A9FD-0892F0919C1B}"/>
</file>

<file path=customXml/itemProps3.xml><?xml version="1.0" encoding="utf-8"?>
<ds:datastoreItem xmlns:ds="http://schemas.openxmlformats.org/officeDocument/2006/customXml" ds:itemID="{9973A158-3C07-4AB4-BDAA-9613A28837DF}"/>
</file>

<file path=customXml/itemProps4.xml><?xml version="1.0" encoding="utf-8"?>
<ds:datastoreItem xmlns:ds="http://schemas.openxmlformats.org/officeDocument/2006/customXml" ds:itemID="{F08485D2-33A0-4284-B266-A256849D7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1830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6</cp:revision>
  <dcterms:created xsi:type="dcterms:W3CDTF">2016-07-04T07:31:00Z</dcterms:created>
  <dcterms:modified xsi:type="dcterms:W3CDTF">2016-07-18T12:49:00Z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45b1c98c-2171-4687-a4bf-3971b443cc76</vt:lpwstr>
  </property>
  <property fmtid="{D5CDD505-2E9C-101B-9397-08002B2CF9AE}" pid="4" name="Order">
    <vt:r8>6600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