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1E" w:rsidRPr="004A691E" w:rsidRDefault="004A691E" w:rsidP="009D1B9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91E">
        <w:rPr>
          <w:rFonts w:ascii="Times New Roman" w:eastAsia="Calibri" w:hAnsi="Times New Roman" w:cs="Times New Roman"/>
          <w:b/>
          <w:sz w:val="28"/>
          <w:szCs w:val="28"/>
        </w:rPr>
        <w:t>Взаимодействие Европейского Суда по правам человека</w:t>
      </w:r>
      <w:r w:rsidR="009D1B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A691E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117FCB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4A691E">
        <w:rPr>
          <w:rFonts w:ascii="Times New Roman" w:eastAsia="Calibri" w:hAnsi="Times New Roman" w:cs="Times New Roman"/>
          <w:b/>
          <w:sz w:val="28"/>
          <w:szCs w:val="28"/>
        </w:rPr>
        <w:t>онституционных судов</w:t>
      </w:r>
      <w:r w:rsidR="009D1B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A691E">
        <w:rPr>
          <w:rFonts w:ascii="Times New Roman" w:eastAsia="Calibri" w:hAnsi="Times New Roman" w:cs="Times New Roman"/>
          <w:b/>
          <w:sz w:val="28"/>
          <w:szCs w:val="28"/>
        </w:rPr>
        <w:t>(эволюционная интерпретация Конвенции)</w:t>
      </w:r>
    </w:p>
    <w:p w:rsidR="004A691E" w:rsidRPr="004A691E" w:rsidRDefault="004A691E" w:rsidP="009D1B9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91E" w:rsidRPr="005348F3" w:rsidRDefault="005348F3" w:rsidP="005348F3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48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Гаджиев </w:t>
      </w:r>
      <w:r w:rsidR="006B4F1B" w:rsidRPr="005348F3">
        <w:rPr>
          <w:rFonts w:ascii="Times New Roman" w:eastAsia="Calibri" w:hAnsi="Times New Roman" w:cs="Times New Roman"/>
          <w:b/>
          <w:i/>
          <w:sz w:val="28"/>
          <w:szCs w:val="28"/>
        </w:rPr>
        <w:t>Х.</w:t>
      </w:r>
      <w:r w:rsidRPr="005348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4A691E" w:rsidRPr="005348F3">
        <w:rPr>
          <w:rFonts w:ascii="Times New Roman" w:eastAsia="Calibri" w:hAnsi="Times New Roman" w:cs="Times New Roman"/>
          <w:i/>
          <w:sz w:val="28"/>
          <w:szCs w:val="28"/>
        </w:rPr>
        <w:t>Судья Европейского Суда по правам человека</w:t>
      </w:r>
      <w:r w:rsidR="00117FCB" w:rsidRPr="005348F3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5348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A691E" w:rsidRPr="005348F3">
        <w:rPr>
          <w:rFonts w:ascii="Times New Roman" w:eastAsia="Calibri" w:hAnsi="Times New Roman" w:cs="Times New Roman"/>
          <w:i/>
          <w:sz w:val="28"/>
          <w:szCs w:val="28"/>
        </w:rPr>
        <w:t>доктор юридических наук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Позвольте выразить благодарность за приглашение на </w:t>
      </w:r>
      <w:r w:rsidR="00117FCB">
        <w:rPr>
          <w:rFonts w:ascii="Times New Roman" w:eastAsia="Calibri" w:hAnsi="Times New Roman" w:cs="Times New Roman"/>
          <w:sz w:val="28"/>
          <w:szCs w:val="28"/>
        </w:rPr>
        <w:t>к</w:t>
      </w:r>
      <w:r w:rsidRPr="004A691E">
        <w:rPr>
          <w:rFonts w:ascii="Times New Roman" w:eastAsia="Calibri" w:hAnsi="Times New Roman" w:cs="Times New Roman"/>
          <w:sz w:val="28"/>
          <w:szCs w:val="28"/>
        </w:rPr>
        <w:t>онференцию, посвященную 25-летию деятельности Конституционного Суда Российской Федерации. Присоединяясь к прозвучавшим</w:t>
      </w:r>
      <w:bookmarkStart w:id="0" w:name="_GoBack"/>
      <w:bookmarkEnd w:id="0"/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сегодня поздравлениям, хотел бы выразить надежду и уверенность, что Конституционный Суд России будет и впредь служить принципам демократии, верховенства права и защиты прав и свобод человека. Названные ценности не только служат условием успешного функционирования Европейской </w:t>
      </w:r>
      <w:r w:rsidR="00117FCB">
        <w:rPr>
          <w:rFonts w:ascii="Times New Roman" w:eastAsia="Calibri" w:hAnsi="Times New Roman" w:cs="Times New Roman"/>
          <w:sz w:val="28"/>
          <w:szCs w:val="28"/>
        </w:rPr>
        <w:t>к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онвенции по правам человека, их защита и развитие – основная цель деятельности Европейского Суда.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Одной из функций Конвенции является формирование европейского «общего» права. В этом процессе каждая сторона вносит свой вклад, но обогащение и развитие этого права происходит в силу диалога Европейского Суда и национальных судов, особенно конституционных и верховных. Обычно в академических исследованиях большое место уделяется влиянию юриспруденции Европейского Суда на национальное право и практику национальных органов, особенно судов. Мне представляется важным говорить о диалоге и взаимодействии юрисдикций и влиянии юриспруденции национальных судов на обогащение и развитие практики Европейского Суда. Известно, что Европейский Суд при рассмотрении конкретного вопроса анализирует право той или иной страны и особенно как оно применено в конкретном случае, изучая, естественно, сложившуюся практику, интерпретацию Конвенции </w:t>
      </w:r>
      <w:r w:rsidRPr="004A691E">
        <w:rPr>
          <w:rFonts w:ascii="Times New Roman" w:eastAsia="Calibri" w:hAnsi="Times New Roman" w:cs="Times New Roman"/>
          <w:sz w:val="28"/>
          <w:szCs w:val="28"/>
        </w:rPr>
        <w:lastRenderedPageBreak/>
        <w:t>национальными судами, в частности как она перекликается с толкованием, данным самим Судом. Интерпретацию норм Конвенции трудно себе представить без изучения правового регулирования вопроса на национальном уровне и интерпретационной деятельности национальных судов. Особенно когда последние активно изыскивают аргументы и элементы правовых подходов и основания для своих решений не только из национальных источников права. Пределы рамок настолько широки</w:t>
      </w:r>
      <w:r w:rsidR="006E6749">
        <w:rPr>
          <w:rFonts w:ascii="Times New Roman" w:eastAsia="Calibri" w:hAnsi="Times New Roman" w:cs="Times New Roman"/>
          <w:sz w:val="28"/>
          <w:szCs w:val="28"/>
        </w:rPr>
        <w:t>,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с учетом подходов, что интерпретация нормы на национальном уровне может с достаточной интенсивностью влиять на правовые системы других стран и стимулировать прогресс социальных и экономических отношений. Такое взаимопроникновение юрисдикций вдохновляет созидающую, </w:t>
      </w:r>
      <w:proofErr w:type="spellStart"/>
      <w:r w:rsidRPr="004A691E">
        <w:rPr>
          <w:rFonts w:ascii="Times New Roman" w:eastAsia="Calibri" w:hAnsi="Times New Roman" w:cs="Times New Roman"/>
          <w:sz w:val="28"/>
          <w:szCs w:val="28"/>
        </w:rPr>
        <w:t>эволютивную</w:t>
      </w:r>
      <w:proofErr w:type="spellEnd"/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функцию интерпретации права. Соглашусь с мнением Федерального Конституционного Суда Германии, что последнее слово в интерпретации Конституции не является препятствием к международному и европейскому диалогу судов, скорее всего оно служит нормативной базой для такого диалога.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Позвольте коснуться нескольких примеров. Так, в деле </w:t>
      </w:r>
      <w:proofErr w:type="spellStart"/>
      <w:r w:rsidRPr="004A691E">
        <w:rPr>
          <w:rFonts w:ascii="Times New Roman" w:eastAsia="Calibri" w:hAnsi="Times New Roman" w:cs="Times New Roman"/>
          <w:i/>
          <w:sz w:val="28"/>
          <w:szCs w:val="28"/>
        </w:rPr>
        <w:t>Тайрер</w:t>
      </w:r>
      <w:proofErr w:type="spellEnd"/>
      <w:r w:rsidRPr="004A691E">
        <w:rPr>
          <w:rFonts w:ascii="Times New Roman" w:eastAsia="Calibri" w:hAnsi="Times New Roman" w:cs="Times New Roman"/>
          <w:i/>
          <w:sz w:val="28"/>
          <w:szCs w:val="28"/>
        </w:rPr>
        <w:t xml:space="preserve"> против Великобритании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Суд посчитал, что Конвенция как живой инструмент должна интерпретироваться в свете условий настоящего времени, учитывая влияние развития и общепринятых стандартов в области уголовной политики стран</w:t>
      </w:r>
      <w:r w:rsidR="00117FC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членов Совета Европы. Другой </w:t>
      </w:r>
      <w:r w:rsidR="00117FCB" w:rsidRPr="004A691E">
        <w:rPr>
          <w:rFonts w:ascii="Times New Roman" w:eastAsia="Calibri" w:hAnsi="Times New Roman" w:cs="Times New Roman"/>
          <w:sz w:val="28"/>
          <w:szCs w:val="28"/>
        </w:rPr>
        <w:t xml:space="preserve">часто 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используемый классический пример вдохновения, который Суд получает от национальных судов, </w:t>
      </w:r>
      <w:r w:rsidR="006E674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дело </w:t>
      </w:r>
      <w:proofErr w:type="spellStart"/>
      <w:r w:rsidRPr="004A691E">
        <w:rPr>
          <w:rFonts w:ascii="Times New Roman" w:eastAsia="Calibri" w:hAnsi="Times New Roman" w:cs="Times New Roman"/>
          <w:i/>
          <w:sz w:val="28"/>
          <w:szCs w:val="28"/>
        </w:rPr>
        <w:t>Претти</w:t>
      </w:r>
      <w:proofErr w:type="spellEnd"/>
      <w:r w:rsidRPr="004A691E">
        <w:rPr>
          <w:rFonts w:ascii="Times New Roman" w:eastAsia="Calibri" w:hAnsi="Times New Roman" w:cs="Times New Roman"/>
          <w:i/>
          <w:sz w:val="28"/>
          <w:szCs w:val="28"/>
        </w:rPr>
        <w:t xml:space="preserve"> против Великобритании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, в котором Суд подтвердил подход, принятый ранее Палатой </w:t>
      </w:r>
      <w:r w:rsidR="00117FCB">
        <w:rPr>
          <w:rFonts w:ascii="Times New Roman" w:eastAsia="Calibri" w:hAnsi="Times New Roman" w:cs="Times New Roman"/>
          <w:sz w:val="28"/>
          <w:szCs w:val="28"/>
        </w:rPr>
        <w:t>л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ордов, </w:t>
      </w:r>
      <w:r w:rsidR="006E6749" w:rsidRPr="004A691E">
        <w:rPr>
          <w:rFonts w:ascii="Times New Roman" w:eastAsia="Calibri" w:hAnsi="Times New Roman" w:cs="Times New Roman"/>
          <w:sz w:val="28"/>
          <w:szCs w:val="28"/>
        </w:rPr>
        <w:t xml:space="preserve">не только </w:t>
      </w:r>
      <w:r w:rsidRPr="004A691E">
        <w:rPr>
          <w:rFonts w:ascii="Times New Roman" w:eastAsia="Calibri" w:hAnsi="Times New Roman" w:cs="Times New Roman"/>
          <w:sz w:val="28"/>
          <w:szCs w:val="28"/>
        </w:rPr>
        <w:t>согласившись, что самоубийство при сод</w:t>
      </w:r>
      <w:r w:rsidR="00117FCB">
        <w:rPr>
          <w:rFonts w:ascii="Times New Roman" w:eastAsia="Calibri" w:hAnsi="Times New Roman" w:cs="Times New Roman"/>
          <w:sz w:val="28"/>
          <w:szCs w:val="28"/>
        </w:rPr>
        <w:t>ействии другого лица подпадает под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пределы </w:t>
      </w:r>
      <w:r w:rsidR="00117FCB">
        <w:rPr>
          <w:rFonts w:ascii="Times New Roman" w:eastAsia="Calibri" w:hAnsi="Times New Roman" w:cs="Times New Roman"/>
          <w:sz w:val="28"/>
          <w:szCs w:val="28"/>
        </w:rPr>
        <w:t>с</w:t>
      </w:r>
      <w:r w:rsidRPr="004A691E">
        <w:rPr>
          <w:rFonts w:ascii="Times New Roman" w:eastAsia="Calibri" w:hAnsi="Times New Roman" w:cs="Times New Roman"/>
          <w:sz w:val="28"/>
          <w:szCs w:val="28"/>
        </w:rPr>
        <w:t>татьи 8 Конвенции (право на личную автономию), но и приняв одновременно их же позицию: в отсутствие европейского консенсуса по названной проблеме ее регулирование почти полностью остается в пределах усмотрения государств.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другом деле, </w:t>
      </w:r>
      <w:r w:rsidRPr="004A691E">
        <w:rPr>
          <w:rFonts w:ascii="Times New Roman" w:eastAsia="Calibri" w:hAnsi="Times New Roman" w:cs="Times New Roman"/>
          <w:i/>
          <w:sz w:val="28"/>
          <w:szCs w:val="28"/>
        </w:rPr>
        <w:t>Аль-Джедда против Великобритании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>, Суд также согласилс</w:t>
      </w:r>
      <w:r w:rsidR="00117FCB">
        <w:rPr>
          <w:rFonts w:ascii="Times New Roman" w:eastAsia="Calibri" w:hAnsi="Times New Roman" w:cs="Times New Roman"/>
          <w:sz w:val="28"/>
          <w:szCs w:val="28"/>
        </w:rPr>
        <w:t>я с большинством членов Палаты л</w:t>
      </w:r>
      <w:r w:rsidRPr="004A691E">
        <w:rPr>
          <w:rFonts w:ascii="Times New Roman" w:eastAsia="Calibri" w:hAnsi="Times New Roman" w:cs="Times New Roman"/>
          <w:sz w:val="28"/>
          <w:szCs w:val="28"/>
        </w:rPr>
        <w:t>ордов</w:t>
      </w:r>
      <w:r w:rsidR="00117FCB">
        <w:rPr>
          <w:rFonts w:ascii="Times New Roman" w:eastAsia="Calibri" w:hAnsi="Times New Roman" w:cs="Times New Roman"/>
          <w:sz w:val="28"/>
          <w:szCs w:val="28"/>
        </w:rPr>
        <w:t xml:space="preserve"> в том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, что интернирование заявителя можно вменить Соединенному Королевству и что во время этого интернирования заявитель находился под его юрисдикцией для целей применения </w:t>
      </w:r>
      <w:r w:rsidR="00117FCB">
        <w:rPr>
          <w:rFonts w:ascii="Times New Roman" w:eastAsia="Calibri" w:hAnsi="Times New Roman" w:cs="Times New Roman"/>
          <w:sz w:val="28"/>
          <w:szCs w:val="28"/>
        </w:rPr>
        <w:t>с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татьи 1 Конвенции. Особо хотелось бы добавить, что практика британских судов в целом оказала значительное влияние на юриспруденцию Суда в интерпретации положений </w:t>
      </w:r>
      <w:r w:rsidR="00117FCB">
        <w:rPr>
          <w:rFonts w:ascii="Times New Roman" w:eastAsia="Calibri" w:hAnsi="Times New Roman" w:cs="Times New Roman"/>
          <w:sz w:val="28"/>
          <w:szCs w:val="28"/>
        </w:rPr>
        <w:t>с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татьи 5 Конвенции, и это с учетом традиций и истории права этой страны. Важно, на мой взгляд, отметить значение решения Конституционного Суда Германии по делу, касающемуся пожизненного лишения свободы и его воздействия на решение Суда в деле </w:t>
      </w:r>
      <w:r w:rsidRPr="00117FCB">
        <w:rPr>
          <w:rFonts w:ascii="Times New Roman" w:eastAsia="Calibri" w:hAnsi="Times New Roman" w:cs="Times New Roman"/>
          <w:i/>
          <w:sz w:val="28"/>
          <w:szCs w:val="28"/>
        </w:rPr>
        <w:t>Винтер против Великобритании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. Федеральный Конституционный Суд признал, что лишение лица свободы без предоставления какого-либо шанса приобрести когда-либо свободу противоречило бы положениям Основного </w:t>
      </w:r>
      <w:r w:rsidR="00117FCB">
        <w:rPr>
          <w:rFonts w:ascii="Times New Roman" w:eastAsia="Calibri" w:hAnsi="Times New Roman" w:cs="Times New Roman"/>
          <w:sz w:val="28"/>
          <w:szCs w:val="28"/>
        </w:rPr>
        <w:t>з</w:t>
      </w:r>
      <w:r w:rsidRPr="004A691E">
        <w:rPr>
          <w:rFonts w:ascii="Times New Roman" w:eastAsia="Calibri" w:hAnsi="Times New Roman" w:cs="Times New Roman"/>
          <w:sz w:val="28"/>
          <w:szCs w:val="28"/>
        </w:rPr>
        <w:t>акона о достоинстве личности. По мнению Конституционного Суда</w:t>
      </w:r>
      <w:r w:rsidR="00210A4D">
        <w:rPr>
          <w:rFonts w:ascii="Times New Roman" w:eastAsia="Calibri" w:hAnsi="Times New Roman" w:cs="Times New Roman"/>
          <w:sz w:val="28"/>
          <w:szCs w:val="28"/>
        </w:rPr>
        <w:t>,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в обществе, ставящем во главу угла достоинство человека, администрация мест отбывания наказания должна стремиться к реабилитации осужденных к пожизненному лишению свободы. В более раннем постановлении по делу </w:t>
      </w:r>
      <w:r w:rsidRPr="004A691E">
        <w:rPr>
          <w:rFonts w:ascii="Times New Roman" w:eastAsia="Calibri" w:hAnsi="Times New Roman" w:cs="Times New Roman"/>
          <w:i/>
          <w:sz w:val="28"/>
          <w:szCs w:val="28"/>
        </w:rPr>
        <w:t>Класс и другие против Германии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Суд также согласился с выводами Конституционного Суда Германии касательно вопроса уведомления лица, в отношении которого ведется тайное наблюдение.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>Следует отметить, что Суд часто для обогащения своей интерпретационной деятельности обращается к постановлениям Конституционного Суда Российской Федерации. Так</w:t>
      </w:r>
      <w:r w:rsidR="00117FCB">
        <w:rPr>
          <w:rFonts w:ascii="Times New Roman" w:eastAsia="Calibri" w:hAnsi="Times New Roman" w:cs="Times New Roman"/>
          <w:sz w:val="28"/>
          <w:szCs w:val="28"/>
        </w:rPr>
        <w:t>,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в деле </w:t>
      </w:r>
      <w:r w:rsidRPr="004A691E">
        <w:rPr>
          <w:rFonts w:ascii="Times New Roman" w:eastAsia="Calibri" w:hAnsi="Times New Roman" w:cs="Times New Roman"/>
          <w:i/>
          <w:sz w:val="28"/>
          <w:szCs w:val="28"/>
        </w:rPr>
        <w:t>Грязнов против России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Суд подчеркнул, что он принимает во внимание доводы Конституционного Суда России, обосновывающие ограниченную ответственность судей и государства за вред, причиненный предположительно незаконными судебными решениями</w:t>
      </w:r>
      <w:r w:rsidR="00117FCB">
        <w:rPr>
          <w:rFonts w:ascii="Times New Roman" w:eastAsia="Calibri" w:hAnsi="Times New Roman" w:cs="Times New Roman"/>
          <w:sz w:val="28"/>
          <w:szCs w:val="28"/>
        </w:rPr>
        <w:t>,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и вытекающий из этого иммунитет от гражданских исков. Суд согласился также с тем, что </w:t>
      </w:r>
      <w:r w:rsidRPr="004A69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такое ограничение нацелено на то, чтобы воспрепятствовать проигрывающим дела </w:t>
      </w:r>
      <w:proofErr w:type="gramStart"/>
      <w:r w:rsidRPr="004A691E">
        <w:rPr>
          <w:rFonts w:ascii="Times New Roman" w:eastAsia="Calibri" w:hAnsi="Times New Roman" w:cs="Times New Roman"/>
          <w:sz w:val="28"/>
          <w:szCs w:val="28"/>
        </w:rPr>
        <w:t>сторонам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691E">
        <w:rPr>
          <w:rFonts w:ascii="Times New Roman" w:eastAsia="Calibri" w:hAnsi="Times New Roman" w:cs="Times New Roman"/>
          <w:sz w:val="28"/>
          <w:szCs w:val="28"/>
        </w:rPr>
        <w:t>которые обычно имеют возможность обратиться со своими жалобами в кассационный суд или в любой другой суд, какой может быть предусмотрен процессуальными нормами,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оспариванию вступившего в законную силу судебного решения в отдельном гражданском деле. Это ограничение также позволяет судьям заниматься своей работой в полной независимости и быть свободными от опасения, что использование ими своего усмотрения и суждения может сделать их ответственными за вред. Наконец, это ограничение позволяет судьям посвятить себя всецело своим судейским обязанностям, не отвлекаясь постоянно на гражданские иски, предъявляемые им проигрывающими дела сторонами. Это </w:t>
      </w:r>
      <w:proofErr w:type="gramStart"/>
      <w:r w:rsidRPr="004A691E">
        <w:rPr>
          <w:rFonts w:ascii="Times New Roman" w:eastAsia="Calibri" w:hAnsi="Times New Roman" w:cs="Times New Roman"/>
          <w:sz w:val="28"/>
          <w:szCs w:val="28"/>
        </w:rPr>
        <w:t>ограничение</w:t>
      </w:r>
      <w:proofErr w:type="gramEnd"/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поэтому преследует правомерную цель надлежащего отправления правосудия.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В другом деле, </w:t>
      </w:r>
      <w:proofErr w:type="spellStart"/>
      <w:r w:rsidRPr="004A691E">
        <w:rPr>
          <w:rFonts w:ascii="Times New Roman" w:eastAsia="Calibri" w:hAnsi="Times New Roman" w:cs="Times New Roman"/>
          <w:i/>
          <w:sz w:val="28"/>
          <w:szCs w:val="28"/>
        </w:rPr>
        <w:t>Новрук</w:t>
      </w:r>
      <w:proofErr w:type="spellEnd"/>
      <w:r w:rsidRPr="004A691E">
        <w:rPr>
          <w:rFonts w:ascii="Times New Roman" w:eastAsia="Calibri" w:hAnsi="Times New Roman" w:cs="Times New Roman"/>
          <w:i/>
          <w:sz w:val="28"/>
          <w:szCs w:val="28"/>
        </w:rPr>
        <w:t xml:space="preserve"> и другие против России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, Суд отметил, что решения национальных органов основаны на формальном подходе без учета позиции Конституционного Суда России о соблюдении баланса, требующего принятия во внимание семейного положения, состояния здоровья инфицированного СПИДом иностранца либо лица без гражданства и других исключительных, но заслуживающих внимания обстоятельств. </w:t>
      </w:r>
    </w:p>
    <w:p w:rsidR="004A691E" w:rsidRPr="004A691E" w:rsidRDefault="004A691E" w:rsidP="004A69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Взаимодействие судов, национальных и международных, означает взаимообогащение правовых систем, использующих в поисках наиболее полного и эффективного регулирования правовые позиции судебных решений. Судьи в поисках аргументов и новых смыслов рассматриваемых норм, особенно в стремлении найти ответы на вызовы времени, не ограничиваются национальными источниками права, обращаются к решениям других органов международной юрисдикции, а также судов других государств. Таким образом, достигается эволюция в толковании норм, стимулирующих позитивные процессы и прогресс в </w:t>
      </w:r>
      <w:r w:rsidRPr="004A69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демократическом развитии. Европейский Суд в деле </w:t>
      </w:r>
      <w:r w:rsidRPr="004A691E">
        <w:rPr>
          <w:rFonts w:ascii="Times New Roman" w:eastAsia="Calibri" w:hAnsi="Times New Roman" w:cs="Times New Roman"/>
          <w:i/>
          <w:sz w:val="28"/>
          <w:szCs w:val="28"/>
        </w:rPr>
        <w:t>Отто-</w:t>
      </w:r>
      <w:proofErr w:type="spellStart"/>
      <w:r w:rsidRPr="004A691E">
        <w:rPr>
          <w:rFonts w:ascii="Times New Roman" w:eastAsia="Calibri" w:hAnsi="Times New Roman" w:cs="Times New Roman"/>
          <w:i/>
          <w:sz w:val="28"/>
          <w:szCs w:val="28"/>
        </w:rPr>
        <w:t>Премингер</w:t>
      </w:r>
      <w:proofErr w:type="spellEnd"/>
      <w:r w:rsidRPr="004A691E">
        <w:rPr>
          <w:rFonts w:ascii="Times New Roman" w:eastAsia="Calibri" w:hAnsi="Times New Roman" w:cs="Times New Roman"/>
          <w:i/>
          <w:sz w:val="28"/>
          <w:szCs w:val="28"/>
        </w:rPr>
        <w:t xml:space="preserve"> против Австрии</w:t>
      </w:r>
      <w:r w:rsidRPr="004A691E">
        <w:rPr>
          <w:rFonts w:ascii="Times New Roman" w:eastAsia="Calibri" w:hAnsi="Times New Roman" w:cs="Times New Roman"/>
          <w:sz w:val="28"/>
          <w:szCs w:val="28"/>
        </w:rPr>
        <w:t>, рассуждая о том, что интерпретация и применение конкретной нормы Конвенции возможн</w:t>
      </w:r>
      <w:r w:rsidR="00117FCB">
        <w:rPr>
          <w:rFonts w:ascii="Times New Roman" w:eastAsia="Calibri" w:hAnsi="Times New Roman" w:cs="Times New Roman"/>
          <w:sz w:val="28"/>
          <w:szCs w:val="28"/>
        </w:rPr>
        <w:t>ы</w:t>
      </w:r>
      <w:r w:rsidRPr="004A691E">
        <w:rPr>
          <w:rFonts w:ascii="Times New Roman" w:eastAsia="Calibri" w:hAnsi="Times New Roman" w:cs="Times New Roman"/>
          <w:sz w:val="28"/>
          <w:szCs w:val="28"/>
        </w:rPr>
        <w:t xml:space="preserve"> в контексте всего ее текста, особо отметил важность интерпретации в гармонии с логикой Конвенции. Эта логика основана на всеобщем признании определенных социальных, культурных и нравственных ценностей. Позвольте выразить уверенность в том, что наше взаимодействие будет и далее служить минимизации различий и усилению защиты прав человека. </w:t>
      </w:r>
    </w:p>
    <w:p w:rsidR="00636AC6" w:rsidRPr="004A691E" w:rsidRDefault="00636AC6" w:rsidP="004A691E">
      <w:pPr>
        <w:spacing w:after="0" w:line="360" w:lineRule="auto"/>
        <w:ind w:firstLine="709"/>
        <w:rPr>
          <w:sz w:val="28"/>
          <w:szCs w:val="28"/>
        </w:rPr>
      </w:pPr>
    </w:p>
    <w:sectPr w:rsidR="00636AC6" w:rsidRPr="004A691E" w:rsidSect="00A6035E">
      <w:headerReference w:type="default" r:id="rId8"/>
      <w:footerReference w:type="default" r:id="rId9"/>
      <w:pgSz w:w="11907" w:h="16840" w:code="9"/>
      <w:pgMar w:top="1440" w:right="1440" w:bottom="1440" w:left="144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DF" w:rsidRDefault="002720DF" w:rsidP="004A691E">
      <w:pPr>
        <w:spacing w:after="0" w:line="240" w:lineRule="auto"/>
      </w:pPr>
      <w:r>
        <w:separator/>
      </w:r>
    </w:p>
  </w:endnote>
  <w:endnote w:type="continuationSeparator" w:id="0">
    <w:p w:rsidR="002720DF" w:rsidRDefault="002720DF" w:rsidP="004A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99805"/>
      <w:docPartObj>
        <w:docPartGallery w:val="Page Numbers (Bottom of Page)"/>
        <w:docPartUnique/>
      </w:docPartObj>
    </w:sdtPr>
    <w:sdtEndPr/>
    <w:sdtContent>
      <w:p w:rsidR="006C0EE7" w:rsidRDefault="004A691E" w:rsidP="00370754">
        <w:pPr>
          <w:pStyle w:val="a3"/>
        </w:pPr>
        <w:r>
          <w:tab/>
        </w:r>
      </w:p>
    </w:sdtContent>
  </w:sdt>
  <w:p w:rsidR="006C0EE7" w:rsidRDefault="002720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DF" w:rsidRDefault="002720DF" w:rsidP="004A691E">
      <w:pPr>
        <w:spacing w:after="0" w:line="240" w:lineRule="auto"/>
      </w:pPr>
      <w:r>
        <w:separator/>
      </w:r>
    </w:p>
  </w:footnote>
  <w:footnote w:type="continuationSeparator" w:id="0">
    <w:p w:rsidR="002720DF" w:rsidRDefault="002720DF" w:rsidP="004A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36697"/>
      <w:docPartObj>
        <w:docPartGallery w:val="Page Numbers (Top of Page)"/>
        <w:docPartUnique/>
      </w:docPartObj>
    </w:sdtPr>
    <w:sdtEndPr/>
    <w:sdtContent>
      <w:p w:rsidR="004A691E" w:rsidRDefault="004A69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8F3">
          <w:rPr>
            <w:noProof/>
          </w:rPr>
          <w:t>2</w:t>
        </w:r>
        <w:r>
          <w:fldChar w:fldCharType="end"/>
        </w:r>
      </w:p>
    </w:sdtContent>
  </w:sdt>
  <w:p w:rsidR="004A691E" w:rsidRDefault="004A69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1E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17FCB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0A4D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20D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3206D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A691E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348F3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4F1B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1AC1"/>
    <w:rsid w:val="006D31FE"/>
    <w:rsid w:val="006D3FBC"/>
    <w:rsid w:val="006D756A"/>
    <w:rsid w:val="006E0F20"/>
    <w:rsid w:val="006E463A"/>
    <w:rsid w:val="006E4D60"/>
    <w:rsid w:val="006E6749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1B97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B6210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691E"/>
  </w:style>
  <w:style w:type="paragraph" w:styleId="a5">
    <w:name w:val="header"/>
    <w:basedOn w:val="a"/>
    <w:link w:val="a6"/>
    <w:uiPriority w:val="99"/>
    <w:unhideWhenUsed/>
    <w:rsid w:val="004A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691E"/>
  </w:style>
  <w:style w:type="paragraph" w:styleId="a5">
    <w:name w:val="header"/>
    <w:basedOn w:val="a"/>
    <w:link w:val="a6"/>
    <w:uiPriority w:val="99"/>
    <w:unhideWhenUsed/>
    <w:rsid w:val="004A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YTS2AAM2MAMQ-216-42</_dlc_DocId>
    <_dlc_DocIdUrl xmlns="5eaa5de6-3da6-4bfb-bdf9-3a6adb29c1e4">
      <Url>http://www.ksrf.ru/ru/Info/Conferences/_layouts/DocIdRedir.aspx?ID=YTS2AAM2MAMQ-216-42</Url>
      <Description>YTS2AAM2MAMQ-216-42</Description>
    </_dlc_DocIdUrl>
    <_dlc_DocIdPersistId xmlns="5eaa5de6-3da6-4bfb-bdf9-3a6adb29c1e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89512-CCE8-481A-BB23-F638B95AC74F}"/>
</file>

<file path=customXml/itemProps2.xml><?xml version="1.0" encoding="utf-8"?>
<ds:datastoreItem xmlns:ds="http://schemas.openxmlformats.org/officeDocument/2006/customXml" ds:itemID="{FD33F662-C596-4F8F-AFAD-0AFA8E2FF63F}"/>
</file>

<file path=customXml/itemProps3.xml><?xml version="1.0" encoding="utf-8"?>
<ds:datastoreItem xmlns:ds="http://schemas.openxmlformats.org/officeDocument/2006/customXml" ds:itemID="{306AE2AA-6BD4-4E4E-92CB-9B52E0C98FE5}"/>
</file>

<file path=customXml/itemProps4.xml><?xml version="1.0" encoding="utf-8"?>
<ds:datastoreItem xmlns:ds="http://schemas.openxmlformats.org/officeDocument/2006/customXml" ds:itemID="{465E669E-6C2E-40D8-96A2-0E4717685E07}"/>
</file>

<file path=customXml/itemProps5.xml><?xml version="1.0" encoding="utf-8"?>
<ds:datastoreItem xmlns:ds="http://schemas.openxmlformats.org/officeDocument/2006/customXml" ds:itemID="{2A42CFA5-3EDF-420A-B389-4B7DE9DE8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9</cp:revision>
  <dcterms:created xsi:type="dcterms:W3CDTF">2016-07-07T14:04:00Z</dcterms:created>
  <dcterms:modified xsi:type="dcterms:W3CDTF">2016-07-18T10:31:00Z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ef257170-d4dd-478d-80ff-94a2175e472c</vt:lpwstr>
  </property>
  <property fmtid="{D5CDD505-2E9C-101B-9397-08002B2CF9AE}" pid="4" name="Order">
    <vt:r8>4200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